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94" w:rsidRPr="002A2849" w:rsidRDefault="00E70294" w:rsidP="00E70294">
      <w:pPr>
        <w:spacing w:line="360" w:lineRule="auto"/>
        <w:ind w:firstLine="540"/>
        <w:jc w:val="center"/>
        <w:rPr>
          <w:rFonts w:ascii="Arial" w:hAnsi="Arial" w:cs="Arial"/>
          <w:b/>
          <w:color w:val="000000"/>
          <w:sz w:val="24"/>
          <w:szCs w:val="24"/>
          <w:lang w:val="ms-MY"/>
        </w:rPr>
      </w:pPr>
      <w:bookmarkStart w:id="0" w:name="_GoBack"/>
      <w:bookmarkEnd w:id="0"/>
      <w:r w:rsidRPr="002A2849">
        <w:rPr>
          <w:rFonts w:ascii="Arial" w:hAnsi="Arial" w:cs="Arial"/>
          <w:b/>
          <w:color w:val="000000"/>
          <w:sz w:val="24"/>
          <w:szCs w:val="24"/>
          <w:lang w:val="ms-MY"/>
        </w:rPr>
        <w:t>LATAR BELAKANG</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b/>
          <w:noProof/>
          <w:color w:val="000000"/>
          <w:sz w:val="24"/>
          <w:szCs w:val="24"/>
          <w:lang w:val="en-MY" w:eastAsia="en-MY"/>
        </w:rPr>
        <mc:AlternateContent>
          <mc:Choice Requires="wps">
            <w:drawing>
              <wp:anchor distT="0" distB="0" distL="114300" distR="114300" simplePos="0" relativeHeight="251659264" behindDoc="0" locked="0" layoutInCell="1" allowOverlap="1" wp14:anchorId="056F7B6B" wp14:editId="20DE60DC">
                <wp:simplePos x="0" y="0"/>
                <wp:positionH relativeFrom="column">
                  <wp:posOffset>3100601</wp:posOffset>
                </wp:positionH>
                <wp:positionV relativeFrom="paragraph">
                  <wp:posOffset>987842</wp:posOffset>
                </wp:positionV>
                <wp:extent cx="2825750" cy="232410"/>
                <wp:effectExtent l="9525" t="7620" r="1270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32410"/>
                        </a:xfrm>
                        <a:prstGeom prst="rect">
                          <a:avLst/>
                        </a:prstGeom>
                        <a:solidFill>
                          <a:srgbClr val="FFFFFF"/>
                        </a:solidFill>
                        <a:ln w="9525">
                          <a:solidFill>
                            <a:srgbClr val="000000"/>
                          </a:solidFill>
                          <a:miter lim="800000"/>
                          <a:headEnd/>
                          <a:tailEnd/>
                        </a:ln>
                      </wps:spPr>
                      <wps:txbx>
                        <w:txbxContent>
                          <w:p w:rsidR="00E70294" w:rsidRPr="008E67A4" w:rsidRDefault="00E70294" w:rsidP="00E70294">
                            <w:pPr>
                              <w:jc w:val="center"/>
                              <w:rPr>
                                <w:color w:val="FF0000"/>
                                <w:sz w:val="18"/>
                                <w:szCs w:val="18"/>
                              </w:rPr>
                            </w:pPr>
                            <w:r w:rsidRPr="008E67A4">
                              <w:rPr>
                                <w:rFonts w:ascii="Arial" w:hAnsi="Arial" w:cs="Arial"/>
                                <w:b/>
                                <w:color w:val="FF0000"/>
                                <w:sz w:val="18"/>
                                <w:szCs w:val="18"/>
                              </w:rPr>
                              <w:t xml:space="preserve">Gambar </w:t>
                            </w:r>
                            <w:r>
                              <w:rPr>
                                <w:rFonts w:ascii="Arial" w:hAnsi="Arial" w:cs="Arial"/>
                                <w:b/>
                                <w:color w:val="FF0000"/>
                                <w:sz w:val="18"/>
                                <w:szCs w:val="18"/>
                              </w:rPr>
                              <w:t>1: Sebahagian Peserta NPQEL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56F7B6B" id="_x0000_t202" coordsize="21600,21600" o:spt="202" path="m,l,21600r21600,l21600,xe">
                <v:stroke joinstyle="miter"/>
                <v:path gradientshapeok="t" o:connecttype="rect"/>
              </v:shapetype>
              <v:shape id="Text Box 5" o:spid="_x0000_s1026" type="#_x0000_t202" style="position:absolute;left:0;text-align:left;margin-left:244.15pt;margin-top:77.8pt;width:222.5pt;height:18.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">
                <v:textbox style="mso-fit-shape-to-text:t">
                  <w:txbxContent>
                    <w:p w:rsidR="00E70294" w:rsidRPr="008E67A4" w:rsidRDefault="00E70294" w:rsidP="00E70294">
                      <w:pPr>
                        <w:jc w:val="center"/>
                        <w:rPr>
                          <w:color w:val="FF0000"/>
                          <w:sz w:val="18"/>
                          <w:szCs w:val="18"/>
                        </w:rPr>
                      </w:pPr>
                      <w:r w:rsidRPr="008E67A4">
                        <w:rPr>
                          <w:rFonts w:ascii="Arial" w:hAnsi="Arial" w:cs="Arial"/>
                          <w:b/>
                          <w:color w:val="FF0000"/>
                          <w:sz w:val="18"/>
                          <w:szCs w:val="18"/>
                        </w:rPr>
                        <w:t xml:space="preserve">Gambar </w:t>
                      </w:r>
                      <w:r>
                        <w:rPr>
                          <w:rFonts w:ascii="Arial" w:hAnsi="Arial" w:cs="Arial"/>
                          <w:b/>
                          <w:color w:val="FF0000"/>
                          <w:sz w:val="18"/>
                          <w:szCs w:val="18"/>
                        </w:rPr>
                        <w:t>1: Sebahagian Peserta NPQEL 2015</w:t>
                      </w:r>
                    </w:p>
                  </w:txbxContent>
                </v:textbox>
              </v:shape>
            </w:pict>
          </mc:Fallback>
        </mc:AlternateContent>
      </w:r>
      <w:r w:rsidRPr="002A2849">
        <w:rPr>
          <w:rFonts w:ascii="Arial" w:hAnsi="Arial" w:cs="Arial"/>
          <w:color w:val="000000"/>
          <w:sz w:val="24"/>
          <w:szCs w:val="24"/>
          <w:lang w:val="ms-MY"/>
        </w:rPr>
        <w:t>Program Sijil Kelayakan Profesional Pemimpin Pendidikan Kebangsaan (</w:t>
      </w:r>
      <w:r w:rsidRPr="002A2849">
        <w:rPr>
          <w:rFonts w:ascii="Arial" w:hAnsi="Arial" w:cs="Arial"/>
          <w:i/>
          <w:color w:val="000000"/>
          <w:sz w:val="24"/>
          <w:szCs w:val="24"/>
          <w:lang w:val="ms-MY"/>
        </w:rPr>
        <w:t>National Professional Qualification for Educational Leaders</w:t>
      </w:r>
      <w:r w:rsidRPr="002A2849">
        <w:rPr>
          <w:rFonts w:ascii="Arial" w:hAnsi="Arial" w:cs="Arial"/>
          <w:color w:val="000000"/>
          <w:sz w:val="24"/>
          <w:szCs w:val="24"/>
          <w:lang w:val="ms-MY"/>
        </w:rPr>
        <w:t xml:space="preserve"> – NPQEL) merupakan satu inisiatif latihan dalam perkhidmatan bagi bidang kepimpinan dan pengurusan anjuran Kementerian Pe</w:t>
      </w:r>
      <w:r>
        <w:rPr>
          <w:rFonts w:ascii="Arial" w:hAnsi="Arial" w:cs="Arial"/>
          <w:color w:val="000000"/>
          <w:sz w:val="24"/>
          <w:szCs w:val="24"/>
          <w:lang w:val="ms-MY"/>
        </w:rPr>
        <w:t>ndidikan</w:t>
      </w:r>
      <w:r w:rsidRPr="002A2849">
        <w:rPr>
          <w:rFonts w:ascii="Arial" w:hAnsi="Arial" w:cs="Arial"/>
          <w:color w:val="000000"/>
          <w:sz w:val="24"/>
          <w:szCs w:val="24"/>
          <w:lang w:val="ms-MY"/>
        </w:rPr>
        <w:t xml:space="preserve"> Malaysia (KPM).</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keepNext/>
        <w:spacing w:line="360" w:lineRule="auto"/>
        <w:jc w:val="both"/>
        <w:rPr>
          <w:rFonts w:ascii="Arial" w:hAnsi="Arial" w:cs="Arial"/>
          <w:color w:val="000000"/>
          <w:lang w:val="ms-MY"/>
        </w:rPr>
      </w:pPr>
      <w:r w:rsidRPr="002A2849">
        <w:rPr>
          <w:rFonts w:ascii="Arial" w:hAnsi="Arial" w:cs="Arial"/>
          <w:color w:val="000000"/>
          <w:sz w:val="24"/>
          <w:szCs w:val="24"/>
          <w:lang w:val="ms-MY"/>
        </w:rPr>
        <w:t>Program NPQEL adalah kesinambungan daripada program yang dahulunya dikenali sebagai Sijil Kelayakan Profesional Kepengetuaan Kebangsaan (</w:t>
      </w:r>
      <w:r w:rsidRPr="002A2849">
        <w:rPr>
          <w:rFonts w:ascii="Arial" w:hAnsi="Arial" w:cs="Arial"/>
          <w:i/>
          <w:color w:val="000000"/>
          <w:sz w:val="24"/>
          <w:szCs w:val="24"/>
          <w:lang w:val="ms-MY"/>
        </w:rPr>
        <w:t xml:space="preserve">National Professional Qualification for </w:t>
      </w:r>
      <w:r w:rsidRPr="00AC763E">
        <w:rPr>
          <w:rFonts w:ascii="Arial" w:hAnsi="Arial" w:cs="Arial"/>
          <w:i/>
          <w:sz w:val="24"/>
          <w:szCs w:val="24"/>
          <w:lang w:val="ms-MY"/>
        </w:rPr>
        <w:t>Headship</w:t>
      </w:r>
      <w:r w:rsidRPr="00AC763E">
        <w:rPr>
          <w:rFonts w:ascii="Arial" w:hAnsi="Arial" w:cs="Arial"/>
          <w:sz w:val="24"/>
          <w:szCs w:val="24"/>
          <w:lang w:val="ms-MY"/>
        </w:rPr>
        <w:t xml:space="preserve"> </w:t>
      </w:r>
      <w:r w:rsidRPr="002A2849">
        <w:rPr>
          <w:rFonts w:ascii="Arial" w:hAnsi="Arial" w:cs="Arial"/>
          <w:color w:val="000000"/>
          <w:sz w:val="24"/>
          <w:szCs w:val="24"/>
          <w:lang w:val="ms-MY"/>
        </w:rPr>
        <w:t>[NPQH])</w:t>
      </w:r>
      <w:r>
        <w:rPr>
          <w:rFonts w:ascii="Arial" w:hAnsi="Arial" w:cs="Arial"/>
          <w:color w:val="000000"/>
          <w:sz w:val="24"/>
          <w:szCs w:val="24"/>
          <w:lang w:val="ms-MY"/>
        </w:rPr>
        <w:t xml:space="preserve">. </w:t>
      </w:r>
      <w:r w:rsidRPr="002A2849">
        <w:rPr>
          <w:rFonts w:ascii="Arial" w:hAnsi="Arial" w:cs="Arial"/>
          <w:color w:val="000000"/>
          <w:sz w:val="24"/>
          <w:szCs w:val="24"/>
          <w:lang w:val="ms-MY"/>
        </w:rPr>
        <w:t>Program NPQH telah dil</w:t>
      </w:r>
      <w:r>
        <w:rPr>
          <w:rFonts w:ascii="Arial" w:hAnsi="Arial" w:cs="Arial"/>
          <w:color w:val="000000"/>
          <w:sz w:val="24"/>
          <w:szCs w:val="24"/>
          <w:lang w:val="ms-MY"/>
        </w:rPr>
        <w:t>ancarkan dengan rasminya oleh Y</w:t>
      </w:r>
      <w:r w:rsidRPr="002A2849">
        <w:rPr>
          <w:rFonts w:ascii="Arial" w:hAnsi="Arial" w:cs="Arial"/>
          <w:color w:val="000000"/>
          <w:sz w:val="24"/>
          <w:szCs w:val="24"/>
          <w:lang w:val="ms-MY"/>
        </w:rPr>
        <w:t>B. Dato’ Sri Mohd Najib bin Tun Haji Abdul Razak, Menteri Pelajaran pada 1 Jun 1999 dan bertujuan untuk membentuk satu kelompok pemimpin pelapis yang bakal menerajui institusi pendidikan, khususnya sekolah, ke tahap yang cemerlang dan terunggul dalam semua bidang.</w:t>
      </w:r>
      <w:r w:rsidRPr="002A2849">
        <w:rPr>
          <w:rFonts w:ascii="Arial" w:eastAsia="Times New Roman" w:hAnsi="Arial" w:cs="Arial"/>
          <w:snapToGrid w:val="0"/>
          <w:color w:val="000000"/>
          <w:w w:val="0"/>
          <w:sz w:val="0"/>
          <w:szCs w:val="0"/>
          <w:u w:color="000000"/>
          <w:bdr w:val="none" w:sz="0" w:space="0" w:color="000000"/>
          <w:shd w:val="clear" w:color="000000" w:fill="000000"/>
          <w:lang w:val="ms-MY" w:eastAsia="x-none" w:bidi="x-none"/>
        </w:rPr>
        <w:t xml:space="preserve"> </w:t>
      </w:r>
    </w:p>
    <w:p w:rsidR="00E70294" w:rsidRPr="002A2849" w:rsidRDefault="00E70294" w:rsidP="00E70294">
      <w:pPr>
        <w:pStyle w:val="Caption"/>
        <w:jc w:val="both"/>
        <w:rPr>
          <w:rFonts w:ascii="Arial" w:hAnsi="Arial" w:cs="Arial"/>
          <w:b w:val="0"/>
          <w:color w:val="000000"/>
          <w:sz w:val="24"/>
          <w:szCs w:val="24"/>
          <w:lang w:val="ms-MY"/>
        </w:rPr>
      </w:pPr>
    </w:p>
    <w:p w:rsidR="00E70294" w:rsidRDefault="00E70294" w:rsidP="00E70294">
      <w:pPr>
        <w:pStyle w:val="BodyTextIndent"/>
        <w:spacing w:after="0" w:line="360" w:lineRule="auto"/>
        <w:ind w:left="0"/>
        <w:jc w:val="both"/>
        <w:rPr>
          <w:rFonts w:ascii="Arial" w:hAnsi="Arial" w:cs="Arial"/>
          <w:color w:val="000000"/>
          <w:sz w:val="24"/>
          <w:szCs w:val="24"/>
          <w:lang w:val="ms-MY"/>
        </w:rPr>
      </w:pPr>
      <w:r w:rsidRPr="002A2849">
        <w:rPr>
          <w:rFonts w:ascii="Arial" w:hAnsi="Arial" w:cs="Arial"/>
          <w:color w:val="000000"/>
          <w:sz w:val="24"/>
          <w:szCs w:val="24"/>
          <w:lang w:val="ms-MY"/>
        </w:rPr>
        <w:t>Program Latihan NPQH dimulakan pada tahun 1999 berdasarkan tiga faktor utama. Pertama, pengetahuan dalam bidang pendidikan berkembang sangat pesat di Malaysia dan di seluruh dunia. Oleh itu bakal pentadbir sekolah di Malaysia memerlukan pengetahuan dan kemahiran baru agar tidak ketinggalan serta dapat bergerak se</w:t>
      </w:r>
      <w:r>
        <w:rPr>
          <w:rFonts w:ascii="Arial" w:hAnsi="Arial" w:cs="Arial"/>
          <w:color w:val="000000"/>
          <w:sz w:val="24"/>
          <w:szCs w:val="24"/>
          <w:lang w:val="ms-MY"/>
        </w:rPr>
        <w:t>iring</w:t>
      </w:r>
      <w:r w:rsidRPr="002A2849">
        <w:rPr>
          <w:rFonts w:ascii="Arial" w:hAnsi="Arial" w:cs="Arial"/>
          <w:color w:val="000000"/>
          <w:sz w:val="24"/>
          <w:szCs w:val="24"/>
          <w:lang w:val="ms-MY"/>
        </w:rPr>
        <w:t xml:space="preserve"> dengan perkembangan dunia pendidikan. Faktor kedua pula adalah se</w:t>
      </w:r>
      <w:r>
        <w:rPr>
          <w:rFonts w:ascii="Arial" w:hAnsi="Arial" w:cs="Arial"/>
          <w:color w:val="000000"/>
          <w:sz w:val="24"/>
          <w:szCs w:val="24"/>
          <w:lang w:val="ms-MY"/>
        </w:rPr>
        <w:t>iring</w:t>
      </w:r>
      <w:r w:rsidRPr="002A2849">
        <w:rPr>
          <w:rFonts w:ascii="Arial" w:hAnsi="Arial" w:cs="Arial"/>
          <w:color w:val="000000"/>
          <w:sz w:val="24"/>
          <w:szCs w:val="24"/>
          <w:lang w:val="ms-MY"/>
        </w:rPr>
        <w:t xml:space="preserve"> dengan syor atau cadangan dalam pernyataan Laporan Jawatankuasa Kabinet Mengkaji Pelaksanaan Dasar Pelajaran pada tahun 1979 berhubung dengan latihan kepada pentadbir-pentadbir sekolah. </w:t>
      </w:r>
    </w:p>
    <w:p w:rsidR="00E70294" w:rsidRDefault="00E70294" w:rsidP="00E70294">
      <w:pPr>
        <w:pStyle w:val="BodyTextIndent"/>
        <w:spacing w:after="0" w:line="360" w:lineRule="auto"/>
        <w:ind w:left="0"/>
        <w:jc w:val="both"/>
        <w:rPr>
          <w:rFonts w:ascii="Arial" w:hAnsi="Arial" w:cs="Arial"/>
          <w:color w:val="000000"/>
          <w:sz w:val="24"/>
          <w:szCs w:val="24"/>
          <w:lang w:val="ms-MY"/>
        </w:rPr>
      </w:pPr>
    </w:p>
    <w:p w:rsidR="00E70294" w:rsidRPr="002A2849" w:rsidRDefault="00E70294" w:rsidP="00E70294">
      <w:pPr>
        <w:pStyle w:val="BodyTextIndent"/>
        <w:spacing w:after="0" w:line="360" w:lineRule="auto"/>
        <w:ind w:left="0"/>
        <w:jc w:val="both"/>
        <w:rPr>
          <w:rFonts w:ascii="Arial" w:hAnsi="Arial" w:cs="Arial"/>
          <w:b/>
          <w:bCs/>
          <w:color w:val="000000"/>
          <w:sz w:val="24"/>
          <w:szCs w:val="24"/>
          <w:lang w:val="ms-MY"/>
        </w:rPr>
      </w:pPr>
      <w:r w:rsidRPr="002A2849">
        <w:rPr>
          <w:rFonts w:ascii="Arial" w:hAnsi="Arial" w:cs="Arial"/>
          <w:color w:val="000000"/>
          <w:sz w:val="24"/>
          <w:szCs w:val="24"/>
          <w:lang w:val="ms-MY"/>
        </w:rPr>
        <w:t>Pernyataan dalam Laporan Jawatan Kuasa Kabinet ini mengesyorkan penubuhan sebuah institusi pelajaran tempatan yang akan menawarkan latihan bagi pegawai Kementerian Pelajaran dan ini membawa kepada penubuhan Institut Aminuddin Baki (IAB). Faktor ketiga pula merupakan pengaruh idea dan amalan berkaitan latihan profesional untuk pentadbir-pentadbir sekolah yang diperoleh oleh pegawai tinggi KPM semasa mereka berkursus di luar negara. Pengaruh program latihan untuk pentadbir-</w:t>
      </w:r>
      <w:r w:rsidRPr="002A2849">
        <w:rPr>
          <w:rFonts w:ascii="Arial" w:hAnsi="Arial" w:cs="Arial"/>
          <w:color w:val="000000"/>
          <w:sz w:val="24"/>
          <w:szCs w:val="24"/>
          <w:lang w:val="ms-MY"/>
        </w:rPr>
        <w:lastRenderedPageBreak/>
        <w:t>pentadbir sekolah di Amerika Syarikat dan kerangka latihan di Britain  telah dirujuk untuk menghasilkan modul Program Latihan NPQH tersebut.</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Program NPQH merupakan program selama satu tahun dan sukatannya berlandaskan sembilan bidang kompetensi dalam Standard Kompetensi Kepengetuaan Sekolah Malaysia (SKKSM) seperti berikut:</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dan Kepimpinan Organisasi</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Kurikulum</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Kokurikulum</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Hal Ehwal Murid</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Kewangan</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Pentadbiran Pejabat</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Persekitaran dan Kemudahan Fizikal</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dan Pembangunan Sumber Manusia, dan</w:t>
      </w:r>
    </w:p>
    <w:p w:rsidR="00E70294" w:rsidRPr="002A2849" w:rsidRDefault="00E70294" w:rsidP="00E70294">
      <w:pPr>
        <w:numPr>
          <w:ilvl w:val="0"/>
          <w:numId w:val="1"/>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Pengurusan Perhubungan Luar</w:t>
      </w:r>
    </w:p>
    <w:p w:rsidR="00E70294" w:rsidRPr="002A2849" w:rsidRDefault="00E70294" w:rsidP="00E70294">
      <w:pPr>
        <w:spacing w:line="360" w:lineRule="auto"/>
        <w:jc w:val="both"/>
        <w:rPr>
          <w:rFonts w:ascii="Arial" w:hAnsi="Arial" w:cs="Arial"/>
          <w:color w:val="000000"/>
          <w:sz w:val="24"/>
          <w:szCs w:val="24"/>
          <w:lang w:val="ms-MY"/>
        </w:rPr>
      </w:pPr>
    </w:p>
    <w:p w:rsidR="00E70294" w:rsidRPr="005D5D61" w:rsidRDefault="00E70294" w:rsidP="00E70294">
      <w:pPr>
        <w:spacing w:line="360" w:lineRule="auto"/>
        <w:jc w:val="both"/>
        <w:rPr>
          <w:rFonts w:ascii="Arial" w:hAnsi="Arial" w:cs="Arial"/>
          <w:sz w:val="24"/>
          <w:szCs w:val="24"/>
          <w:lang w:val="ms-MY"/>
        </w:rPr>
      </w:pPr>
      <w:r w:rsidRPr="002A2849">
        <w:rPr>
          <w:rFonts w:ascii="Arial" w:hAnsi="Arial" w:cs="Arial"/>
          <w:sz w:val="24"/>
          <w:szCs w:val="24"/>
          <w:lang w:val="ms-MY"/>
        </w:rPr>
        <w:t>Bermula tahun 2008 program NPQH telah ditukar nama kepada NPQEL dan pengisian program ini dimantapkan untuk membolehkan Sijil NPQEL diberikan nilai taraf Penilaian Tahap Kecekapan (PTK).</w:t>
      </w:r>
      <w:r>
        <w:rPr>
          <w:rFonts w:ascii="Arial" w:hAnsi="Arial" w:cs="Arial"/>
          <w:sz w:val="24"/>
          <w:szCs w:val="24"/>
          <w:lang w:val="ms-MY"/>
        </w:rPr>
        <w:t xml:space="preserve"> </w:t>
      </w:r>
      <w:r w:rsidRPr="002A2849">
        <w:rPr>
          <w:rFonts w:ascii="Arial" w:hAnsi="Arial" w:cs="Arial"/>
          <w:sz w:val="24"/>
          <w:szCs w:val="24"/>
          <w:lang w:val="ms-MY"/>
        </w:rPr>
        <w:t>Namun program ini masih berlangsung selama satu tahun dengan 6 bulan pertama di IAB dan 6 bulan kemudiannya di sekolah bagi Program Sandaran.</w:t>
      </w:r>
      <w:r w:rsidRPr="002A2849">
        <w:rPr>
          <w:rFonts w:ascii="Arial" w:hAnsi="Arial" w:cs="Arial"/>
          <w:color w:val="000000"/>
          <w:sz w:val="24"/>
          <w:szCs w:val="24"/>
          <w:lang w:val="ms-MY"/>
        </w:rPr>
        <w:t xml:space="preserve"> </w:t>
      </w:r>
      <w:r w:rsidRPr="005D5D61">
        <w:rPr>
          <w:rFonts w:ascii="Arial" w:hAnsi="Arial" w:cs="Arial"/>
          <w:sz w:val="24"/>
          <w:szCs w:val="24"/>
          <w:lang w:val="ms-MY"/>
        </w:rPr>
        <w:t>Sehubungan dengan itu, sebanyak 23 kohort/ambilan NPQH/NPQEL telah dilatih sejak tahun 1999 sehingga tahun 2015.</w:t>
      </w:r>
    </w:p>
    <w:p w:rsidR="00E70294"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noProof/>
          <w:color w:val="000000"/>
          <w:sz w:val="24"/>
          <w:szCs w:val="24"/>
          <w:lang w:val="en-MY" w:eastAsia="en-MY"/>
        </w:rPr>
        <mc:AlternateContent>
          <mc:Choice Requires="wps">
            <w:drawing>
              <wp:anchor distT="0" distB="0" distL="114300" distR="114300" simplePos="0" relativeHeight="251661312" behindDoc="0" locked="0" layoutInCell="1" allowOverlap="1" wp14:anchorId="0D6105DB" wp14:editId="5E2A634C">
                <wp:simplePos x="0" y="0"/>
                <wp:positionH relativeFrom="column">
                  <wp:posOffset>2777462</wp:posOffset>
                </wp:positionH>
                <wp:positionV relativeFrom="paragraph">
                  <wp:posOffset>1797515</wp:posOffset>
                </wp:positionV>
                <wp:extent cx="2673985" cy="232410"/>
                <wp:effectExtent l="9525" t="8890" r="1206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32410"/>
                        </a:xfrm>
                        <a:prstGeom prst="rect">
                          <a:avLst/>
                        </a:prstGeom>
                        <a:solidFill>
                          <a:srgbClr val="FFFFFF"/>
                        </a:solidFill>
                        <a:ln w="9525">
                          <a:solidFill>
                            <a:srgbClr val="000000"/>
                          </a:solidFill>
                          <a:miter lim="800000"/>
                          <a:headEnd/>
                          <a:tailEnd/>
                        </a:ln>
                      </wps:spPr>
                      <wps:txbx>
                        <w:txbxContent>
                          <w:p w:rsidR="00E70294" w:rsidRPr="00B56AC5" w:rsidRDefault="00E70294" w:rsidP="00E70294">
                            <w:pPr>
                              <w:jc w:val="center"/>
                              <w:rPr>
                                <w:color w:val="FF0000"/>
                                <w:sz w:val="18"/>
                                <w:szCs w:val="18"/>
                              </w:rPr>
                            </w:pPr>
                            <w:r w:rsidRPr="00B56AC5">
                              <w:rPr>
                                <w:rFonts w:ascii="Arial" w:hAnsi="Arial" w:cs="Arial"/>
                                <w:b/>
                                <w:color w:val="FF0000"/>
                                <w:sz w:val="18"/>
                                <w:szCs w:val="18"/>
                              </w:rPr>
                              <w:t xml:space="preserve">Gambar 2: Orientasi Peserta NPQEL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D6105DB" id="Text Box 4" o:spid="_x0000_s1027" type="#_x0000_t202" style="position:absolute;left:0;text-align:left;margin-left:218.7pt;margin-top:141.55pt;width:210.55pt;height:18.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">
                <v:textbox style="mso-fit-shape-to-text:t">
                  <w:txbxContent>
                    <w:p w:rsidR="00E70294" w:rsidRPr="00B56AC5" w:rsidRDefault="00E70294" w:rsidP="00E70294">
                      <w:pPr>
                        <w:jc w:val="center"/>
                        <w:rPr>
                          <w:color w:val="FF0000"/>
                          <w:sz w:val="18"/>
                          <w:szCs w:val="18"/>
                        </w:rPr>
                      </w:pPr>
                      <w:r w:rsidRPr="00B56AC5">
                        <w:rPr>
                          <w:rFonts w:ascii="Arial" w:hAnsi="Arial" w:cs="Arial"/>
                          <w:b/>
                          <w:color w:val="FF0000"/>
                          <w:sz w:val="18"/>
                          <w:szCs w:val="18"/>
                        </w:rPr>
                        <w:t xml:space="preserve">Gambar 2: Orientasi Peserta NPQEL </w:t>
                      </w:r>
                    </w:p>
                  </w:txbxContent>
                </v:textbox>
              </v:shape>
            </w:pict>
          </mc:Fallback>
        </mc:AlternateContent>
      </w:r>
      <w:r w:rsidRPr="002A2849">
        <w:rPr>
          <w:rFonts w:ascii="Arial" w:hAnsi="Arial" w:cs="Arial"/>
          <w:noProof/>
          <w:color w:val="000000"/>
          <w:lang w:val="en-MY" w:eastAsia="en-MY"/>
        </w:rPr>
        <w:drawing>
          <wp:anchor distT="0" distB="0" distL="114300" distR="114300" simplePos="0" relativeHeight="251662336" behindDoc="1" locked="0" layoutInCell="1" allowOverlap="1" wp14:anchorId="783A9175" wp14:editId="79EB2F2F">
            <wp:simplePos x="0" y="0"/>
            <wp:positionH relativeFrom="column">
              <wp:posOffset>9525</wp:posOffset>
            </wp:positionH>
            <wp:positionV relativeFrom="paragraph">
              <wp:posOffset>36830</wp:posOffset>
            </wp:positionV>
            <wp:extent cx="2676525" cy="2009775"/>
            <wp:effectExtent l="0" t="0" r="9525" b="9525"/>
            <wp:wrapTight wrapText="bothSides">
              <wp:wrapPolygon edited="0">
                <wp:start x="0" y="0"/>
                <wp:lineTo x="0" y="21498"/>
                <wp:lineTo x="21523" y="21498"/>
                <wp:lineTo x="21523" y="0"/>
                <wp:lineTo x="0" y="0"/>
              </wp:wrapPolygon>
            </wp:wrapTight>
            <wp:docPr id="3" name="Picture 3" descr="Kohort 3- orientas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hort 3- orientasi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849">
        <w:rPr>
          <w:rFonts w:ascii="Arial" w:hAnsi="Arial" w:cs="Arial"/>
          <w:color w:val="000000"/>
          <w:sz w:val="24"/>
          <w:szCs w:val="24"/>
          <w:lang w:val="ms-MY"/>
        </w:rPr>
        <w:t xml:space="preserve">Program NPQEL </w:t>
      </w:r>
      <w:r>
        <w:rPr>
          <w:rFonts w:ascii="Arial" w:hAnsi="Arial" w:cs="Arial"/>
          <w:color w:val="000000"/>
          <w:sz w:val="24"/>
          <w:szCs w:val="24"/>
          <w:lang w:val="ms-MY"/>
        </w:rPr>
        <w:t>merupakan</w:t>
      </w:r>
      <w:r w:rsidRPr="002A2849">
        <w:rPr>
          <w:rFonts w:ascii="Arial" w:hAnsi="Arial" w:cs="Arial"/>
          <w:color w:val="000000"/>
          <w:sz w:val="24"/>
          <w:szCs w:val="24"/>
          <w:lang w:val="ms-MY"/>
        </w:rPr>
        <w:t xml:space="preserve"> latihan menyeluruh (</w:t>
      </w:r>
      <w:r w:rsidRPr="002A2849">
        <w:rPr>
          <w:rFonts w:ascii="Arial" w:hAnsi="Arial" w:cs="Arial"/>
          <w:i/>
          <w:color w:val="000000"/>
          <w:sz w:val="24"/>
          <w:szCs w:val="24"/>
          <w:lang w:val="ms-MY"/>
        </w:rPr>
        <w:t>total training</w:t>
      </w:r>
      <w:r w:rsidRPr="002A2849">
        <w:rPr>
          <w:rFonts w:ascii="Arial" w:hAnsi="Arial" w:cs="Arial"/>
          <w:color w:val="000000"/>
          <w:sz w:val="24"/>
          <w:szCs w:val="24"/>
          <w:lang w:val="ms-MY"/>
        </w:rPr>
        <w:t xml:space="preserve">) yang merangkumi keseluruhan keperluan asas kompetensi </w:t>
      </w:r>
      <w:r>
        <w:rPr>
          <w:rFonts w:ascii="Arial" w:hAnsi="Arial" w:cs="Arial"/>
          <w:color w:val="000000"/>
          <w:sz w:val="24"/>
          <w:szCs w:val="24"/>
          <w:lang w:val="ms-MY"/>
        </w:rPr>
        <w:t>Pengetua/guru besar</w:t>
      </w:r>
      <w:r w:rsidRPr="002A2849">
        <w:rPr>
          <w:rFonts w:ascii="Arial" w:hAnsi="Arial" w:cs="Arial"/>
          <w:color w:val="000000"/>
          <w:sz w:val="24"/>
          <w:szCs w:val="24"/>
          <w:lang w:val="ms-MY"/>
        </w:rPr>
        <w:t>.</w:t>
      </w:r>
      <w:r>
        <w:rPr>
          <w:rFonts w:ascii="Arial" w:hAnsi="Arial" w:cs="Arial"/>
          <w:color w:val="000000"/>
          <w:sz w:val="24"/>
          <w:szCs w:val="24"/>
          <w:lang w:val="ms-MY"/>
        </w:rPr>
        <w:t xml:space="preserve"> </w:t>
      </w:r>
      <w:r w:rsidRPr="002A2849">
        <w:rPr>
          <w:rFonts w:ascii="Arial" w:hAnsi="Arial" w:cs="Arial"/>
          <w:color w:val="000000"/>
          <w:sz w:val="24"/>
          <w:szCs w:val="24"/>
          <w:lang w:val="ms-MY"/>
        </w:rPr>
        <w:t xml:space="preserve">NPQEL juga merupakan satu-satunya program berstruktur secara komprehensif bagi menyediakan barisan bakal </w:t>
      </w:r>
      <w:r>
        <w:rPr>
          <w:rFonts w:ascii="Arial" w:hAnsi="Arial" w:cs="Arial"/>
          <w:color w:val="000000"/>
          <w:sz w:val="24"/>
          <w:szCs w:val="24"/>
          <w:lang w:val="ms-MY"/>
        </w:rPr>
        <w:t>pengetua/guru besar</w:t>
      </w:r>
      <w:r w:rsidRPr="002A2849">
        <w:rPr>
          <w:rFonts w:ascii="Arial" w:hAnsi="Arial" w:cs="Arial"/>
          <w:color w:val="000000"/>
          <w:sz w:val="24"/>
          <w:szCs w:val="24"/>
          <w:lang w:val="ms-MY"/>
        </w:rPr>
        <w:t xml:space="preserve"> di negara ini.</w:t>
      </w:r>
    </w:p>
    <w:p w:rsidR="00E70294" w:rsidRPr="002A2849" w:rsidRDefault="00E70294" w:rsidP="00E70294">
      <w:pPr>
        <w:spacing w:line="360" w:lineRule="auto"/>
        <w:jc w:val="both"/>
        <w:rPr>
          <w:rFonts w:ascii="Arial" w:hAnsi="Arial" w:cs="Arial"/>
          <w:color w:val="000000"/>
          <w:sz w:val="24"/>
          <w:szCs w:val="24"/>
          <w:lang w:val="ms-MY"/>
        </w:rPr>
      </w:pPr>
    </w:p>
    <w:p w:rsidR="00E70294"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Pada tahun 201</w:t>
      </w:r>
      <w:r>
        <w:rPr>
          <w:rFonts w:ascii="Arial" w:hAnsi="Arial" w:cs="Arial"/>
          <w:color w:val="000000"/>
          <w:sz w:val="24"/>
          <w:szCs w:val="24"/>
          <w:lang w:val="ms-MY"/>
        </w:rPr>
        <w:t>1</w:t>
      </w:r>
      <w:r w:rsidRPr="002A2849">
        <w:rPr>
          <w:rFonts w:ascii="Arial" w:hAnsi="Arial" w:cs="Arial"/>
          <w:color w:val="000000"/>
          <w:sz w:val="24"/>
          <w:szCs w:val="24"/>
          <w:lang w:val="ms-MY"/>
        </w:rPr>
        <w:t>, pihak IAB telah mengemukakan syor bagi mengubah tempoh program NPQEL dan strukturnya. Tempoh baru adalah selama 5 bulan dan mod pengajian diadakan secara bersemuka (</w:t>
      </w:r>
      <w:r w:rsidRPr="002A2849">
        <w:rPr>
          <w:rFonts w:ascii="Arial" w:hAnsi="Arial" w:cs="Arial"/>
          <w:i/>
          <w:color w:val="000000"/>
          <w:sz w:val="24"/>
          <w:szCs w:val="24"/>
          <w:lang w:val="ms-MY"/>
        </w:rPr>
        <w:t>face to face</w:t>
      </w:r>
      <w:r w:rsidRPr="002A2849">
        <w:rPr>
          <w:rFonts w:ascii="Arial" w:hAnsi="Arial" w:cs="Arial"/>
          <w:color w:val="000000"/>
          <w:sz w:val="24"/>
          <w:szCs w:val="24"/>
          <w:lang w:val="ms-MY"/>
        </w:rPr>
        <w:t xml:space="preserve">) dan </w:t>
      </w:r>
      <w:r w:rsidRPr="00B56AC5">
        <w:rPr>
          <w:rFonts w:ascii="Arial" w:hAnsi="Arial" w:cs="Arial"/>
          <w:color w:val="000000"/>
          <w:sz w:val="24"/>
          <w:szCs w:val="24"/>
          <w:lang w:val="ms-MY"/>
        </w:rPr>
        <w:t>e-Pembelajaran</w:t>
      </w:r>
      <w:r w:rsidRPr="002A2849">
        <w:rPr>
          <w:rFonts w:ascii="Arial" w:hAnsi="Arial" w:cs="Arial"/>
          <w:color w:val="000000"/>
          <w:sz w:val="24"/>
          <w:szCs w:val="24"/>
          <w:lang w:val="ms-MY"/>
        </w:rPr>
        <w:t xml:space="preserve">. Permohonan </w:t>
      </w:r>
      <w:r>
        <w:rPr>
          <w:rFonts w:ascii="Arial" w:hAnsi="Arial" w:cs="Arial"/>
          <w:color w:val="000000"/>
          <w:sz w:val="24"/>
          <w:szCs w:val="24"/>
          <w:lang w:val="ms-MY"/>
        </w:rPr>
        <w:t>I</w:t>
      </w:r>
      <w:r w:rsidRPr="002A2849">
        <w:rPr>
          <w:rFonts w:ascii="Arial" w:hAnsi="Arial" w:cs="Arial"/>
          <w:color w:val="000000"/>
          <w:sz w:val="24"/>
          <w:szCs w:val="24"/>
          <w:lang w:val="ms-MY"/>
        </w:rPr>
        <w:t xml:space="preserve">AB kepada JPA untuk mengubah program ini telah diterima dan diluluskan oleh Ketua Pengarah Perkhidmatan Awam pada 17 Mac 2011 </w:t>
      </w:r>
      <w:r w:rsidRPr="0086684B">
        <w:rPr>
          <w:rFonts w:ascii="Arial" w:hAnsi="Arial" w:cs="Arial"/>
          <w:color w:val="000000"/>
          <w:sz w:val="24"/>
          <w:szCs w:val="24"/>
          <w:lang w:val="ms-MY"/>
        </w:rPr>
        <w:t>(Rujuk Lampiran A).</w:t>
      </w:r>
    </w:p>
    <w:p w:rsidR="00E70294" w:rsidRDefault="00E70294" w:rsidP="00E70294">
      <w:pPr>
        <w:spacing w:line="360" w:lineRule="auto"/>
        <w:jc w:val="center"/>
        <w:rPr>
          <w:rFonts w:ascii="Arial" w:hAnsi="Arial" w:cs="Arial"/>
          <w:color w:val="000000"/>
          <w:sz w:val="24"/>
          <w:szCs w:val="24"/>
          <w:lang w:val="ms-MY"/>
        </w:rPr>
      </w:pPr>
    </w:p>
    <w:p w:rsidR="00E70294" w:rsidRDefault="00E70294" w:rsidP="00E70294">
      <w:pPr>
        <w:spacing w:line="360" w:lineRule="auto"/>
        <w:jc w:val="center"/>
        <w:rPr>
          <w:rFonts w:ascii="Arial" w:hAnsi="Arial" w:cs="Arial"/>
          <w:color w:val="000000"/>
          <w:sz w:val="24"/>
          <w:szCs w:val="24"/>
          <w:lang w:val="ms-MY"/>
        </w:rPr>
      </w:pPr>
      <w:r w:rsidRPr="002A2849">
        <w:rPr>
          <w:rFonts w:ascii="Arial" w:hAnsi="Arial" w:cs="Arial"/>
          <w:color w:val="000000"/>
          <w:sz w:val="24"/>
          <w:szCs w:val="24"/>
          <w:lang w:val="ms-MY"/>
        </w:rPr>
        <w:t>Jadual 1: Jumlah Peserta NPQH/NPQEL Mengikut Tahun</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862"/>
        <w:gridCol w:w="936"/>
        <w:gridCol w:w="1440"/>
        <w:gridCol w:w="1350"/>
        <w:gridCol w:w="1067"/>
      </w:tblGrid>
      <w:tr w:rsidR="00E70294" w:rsidRPr="00C12FB8" w:rsidTr="00012A5C">
        <w:tc>
          <w:tcPr>
            <w:tcW w:w="2862" w:type="dxa"/>
            <w:tcBorders>
              <w:top w:val="single" w:sz="8" w:space="0" w:color="FFFFFF"/>
              <w:left w:val="single" w:sz="8" w:space="0" w:color="FFFFFF"/>
              <w:bottom w:val="single" w:sz="24" w:space="0" w:color="FFFFFF"/>
              <w:right w:val="single" w:sz="8" w:space="0" w:color="FFFFFF"/>
            </w:tcBorders>
            <w:shd w:val="clear" w:color="auto" w:fill="70AD47"/>
          </w:tcPr>
          <w:p w:rsidR="00E70294" w:rsidRPr="00C12FB8" w:rsidRDefault="00E70294" w:rsidP="00012A5C">
            <w:pPr>
              <w:jc w:val="center"/>
              <w:rPr>
                <w:rFonts w:ascii="Arial" w:hAnsi="Arial" w:cs="Arial"/>
                <w:b/>
                <w:bCs/>
                <w:color w:val="000000"/>
                <w:sz w:val="24"/>
                <w:szCs w:val="24"/>
                <w:lang w:val="ms-MY"/>
              </w:rPr>
            </w:pPr>
            <w:r w:rsidRPr="00C12FB8">
              <w:rPr>
                <w:rFonts w:ascii="Arial" w:hAnsi="Arial" w:cs="Arial"/>
                <w:b/>
                <w:bCs/>
                <w:color w:val="000000"/>
                <w:sz w:val="24"/>
                <w:szCs w:val="24"/>
                <w:lang w:val="ms-MY"/>
              </w:rPr>
              <w:t>Kohort</w:t>
            </w:r>
          </w:p>
        </w:tc>
        <w:tc>
          <w:tcPr>
            <w:tcW w:w="936" w:type="dxa"/>
            <w:tcBorders>
              <w:top w:val="single" w:sz="8" w:space="0" w:color="FFFFFF"/>
              <w:left w:val="single" w:sz="8" w:space="0" w:color="FFFFFF"/>
              <w:bottom w:val="single" w:sz="24" w:space="0" w:color="FFFFFF"/>
              <w:right w:val="single" w:sz="8" w:space="0" w:color="FFFFFF"/>
            </w:tcBorders>
            <w:shd w:val="clear" w:color="auto" w:fill="70AD47"/>
          </w:tcPr>
          <w:p w:rsidR="00E70294" w:rsidRPr="00C12FB8" w:rsidRDefault="00E70294" w:rsidP="00012A5C">
            <w:pPr>
              <w:jc w:val="center"/>
              <w:rPr>
                <w:rFonts w:ascii="Arial" w:hAnsi="Arial" w:cs="Arial"/>
                <w:b/>
                <w:bCs/>
                <w:color w:val="000000"/>
                <w:sz w:val="24"/>
                <w:szCs w:val="24"/>
                <w:lang w:val="ms-MY"/>
              </w:rPr>
            </w:pPr>
            <w:r w:rsidRPr="00C12FB8">
              <w:rPr>
                <w:rFonts w:ascii="Arial" w:hAnsi="Arial" w:cs="Arial"/>
                <w:b/>
                <w:bCs/>
                <w:color w:val="000000"/>
                <w:sz w:val="24"/>
                <w:szCs w:val="24"/>
                <w:lang w:val="ms-MY"/>
              </w:rPr>
              <w:t>Tahun</w:t>
            </w:r>
          </w:p>
        </w:tc>
        <w:tc>
          <w:tcPr>
            <w:tcW w:w="1440" w:type="dxa"/>
            <w:tcBorders>
              <w:top w:val="single" w:sz="8" w:space="0" w:color="FFFFFF"/>
              <w:left w:val="single" w:sz="8" w:space="0" w:color="FFFFFF"/>
              <w:bottom w:val="single" w:sz="24" w:space="0" w:color="FFFFFF"/>
              <w:right w:val="single" w:sz="8" w:space="0" w:color="FFFFFF"/>
            </w:tcBorders>
            <w:shd w:val="clear" w:color="auto" w:fill="70AD47"/>
          </w:tcPr>
          <w:p w:rsidR="00E70294" w:rsidRPr="00C12FB8" w:rsidRDefault="00E70294" w:rsidP="00012A5C">
            <w:pPr>
              <w:jc w:val="center"/>
              <w:rPr>
                <w:rFonts w:ascii="Arial" w:hAnsi="Arial" w:cs="Arial"/>
                <w:b/>
                <w:bCs/>
                <w:color w:val="000000"/>
                <w:sz w:val="24"/>
                <w:szCs w:val="24"/>
                <w:lang w:val="ms-MY"/>
              </w:rPr>
            </w:pPr>
            <w:r w:rsidRPr="00C12FB8">
              <w:rPr>
                <w:rFonts w:ascii="Arial" w:hAnsi="Arial" w:cs="Arial"/>
                <w:b/>
                <w:bCs/>
                <w:color w:val="000000"/>
                <w:sz w:val="24"/>
                <w:szCs w:val="24"/>
                <w:lang w:val="ms-MY"/>
              </w:rPr>
              <w:t>Sekolah Menengah</w:t>
            </w:r>
          </w:p>
        </w:tc>
        <w:tc>
          <w:tcPr>
            <w:tcW w:w="1350" w:type="dxa"/>
            <w:tcBorders>
              <w:top w:val="single" w:sz="8" w:space="0" w:color="FFFFFF"/>
              <w:left w:val="single" w:sz="8" w:space="0" w:color="FFFFFF"/>
              <w:bottom w:val="single" w:sz="24" w:space="0" w:color="FFFFFF"/>
              <w:right w:val="single" w:sz="8" w:space="0" w:color="FFFFFF"/>
            </w:tcBorders>
            <w:shd w:val="clear" w:color="auto" w:fill="70AD47"/>
          </w:tcPr>
          <w:p w:rsidR="00E70294" w:rsidRPr="00C12FB8" w:rsidRDefault="00E70294" w:rsidP="00012A5C">
            <w:pPr>
              <w:jc w:val="center"/>
              <w:rPr>
                <w:rFonts w:ascii="Arial" w:hAnsi="Arial" w:cs="Arial"/>
                <w:b/>
                <w:bCs/>
                <w:color w:val="000000"/>
                <w:sz w:val="24"/>
                <w:szCs w:val="24"/>
                <w:lang w:val="ms-MY"/>
              </w:rPr>
            </w:pPr>
            <w:r w:rsidRPr="00C12FB8">
              <w:rPr>
                <w:rFonts w:ascii="Arial" w:hAnsi="Arial" w:cs="Arial"/>
                <w:b/>
                <w:bCs/>
                <w:color w:val="000000"/>
                <w:sz w:val="24"/>
                <w:szCs w:val="24"/>
                <w:lang w:val="ms-MY"/>
              </w:rPr>
              <w:t>Sekolah Rendah</w:t>
            </w:r>
          </w:p>
        </w:tc>
        <w:tc>
          <w:tcPr>
            <w:tcW w:w="1067" w:type="dxa"/>
            <w:tcBorders>
              <w:top w:val="single" w:sz="8" w:space="0" w:color="FFFFFF"/>
              <w:left w:val="single" w:sz="8" w:space="0" w:color="FFFFFF"/>
              <w:bottom w:val="single" w:sz="24" w:space="0" w:color="FFFFFF"/>
              <w:right w:val="single" w:sz="8" w:space="0" w:color="FFFFFF"/>
            </w:tcBorders>
            <w:shd w:val="clear" w:color="auto" w:fill="70AD47"/>
          </w:tcPr>
          <w:p w:rsidR="00E70294" w:rsidRPr="00C12FB8" w:rsidRDefault="00E70294" w:rsidP="00012A5C">
            <w:pPr>
              <w:jc w:val="center"/>
              <w:rPr>
                <w:rFonts w:ascii="Arial" w:hAnsi="Arial" w:cs="Arial"/>
                <w:b/>
                <w:bCs/>
                <w:color w:val="000000"/>
                <w:sz w:val="24"/>
                <w:szCs w:val="24"/>
                <w:lang w:val="ms-MY"/>
              </w:rPr>
            </w:pPr>
            <w:r w:rsidRPr="00C12FB8">
              <w:rPr>
                <w:rFonts w:ascii="Arial" w:hAnsi="Arial" w:cs="Arial"/>
                <w:b/>
                <w:bCs/>
                <w:color w:val="000000"/>
                <w:sz w:val="24"/>
                <w:szCs w:val="24"/>
                <w:lang w:val="ms-MY"/>
              </w:rPr>
              <w:t>Jumlah</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1</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1999</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216</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43</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259</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2</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2000</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0</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243</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243</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3</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2000</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130</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0</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130</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4</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2001</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67</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58</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125</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5</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2001</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36</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0</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36</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6</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2002</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58</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26</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84</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7</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2003</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50</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0</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50</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8</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2004</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67</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130</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197</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9</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2005</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40</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132</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172</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10</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2006</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96</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76</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172</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NPQH Kohort 11</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2007</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78</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67</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145</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Kohort 1</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2008</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83</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58</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141</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Kohort 2</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2009</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112</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22</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134</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Kohort 3</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2010</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51</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17</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68</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Ambilan 1</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2011</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48</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66</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114</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Ambilan 1</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2012</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52</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73</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125</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Ambilan 2</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2012</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67</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54</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121</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Ambilan 1</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2013</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280</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217</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497</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Ambilan 2</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2013</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263</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247</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510</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Ambilan 1</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2014</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144</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259</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403</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lastRenderedPageBreak/>
              <w:t>NPQEL Ambilan 2</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2014</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238</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379</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617</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Ambilan 1</w:t>
            </w:r>
          </w:p>
        </w:tc>
        <w:tc>
          <w:tcPr>
            <w:tcW w:w="936"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2015</w:t>
            </w:r>
          </w:p>
        </w:tc>
        <w:tc>
          <w:tcPr>
            <w:tcW w:w="144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160</w:t>
            </w:r>
          </w:p>
        </w:tc>
        <w:tc>
          <w:tcPr>
            <w:tcW w:w="1350"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377</w:t>
            </w:r>
          </w:p>
        </w:tc>
        <w:tc>
          <w:tcPr>
            <w:tcW w:w="1067" w:type="dxa"/>
            <w:shd w:val="clear" w:color="auto" w:fill="DBEBD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537</w:t>
            </w:r>
          </w:p>
        </w:tc>
      </w:tr>
      <w:tr w:rsidR="00E70294" w:rsidRPr="00C12FB8" w:rsidTr="00012A5C">
        <w:tc>
          <w:tcPr>
            <w:tcW w:w="2862" w:type="dxa"/>
            <w:tcBorders>
              <w:top w:val="single" w:sz="8" w:space="0" w:color="FFFFFF"/>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NPQEL Ambilan 2</w:t>
            </w:r>
          </w:p>
        </w:tc>
        <w:tc>
          <w:tcPr>
            <w:tcW w:w="936"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2015</w:t>
            </w:r>
          </w:p>
        </w:tc>
        <w:tc>
          <w:tcPr>
            <w:tcW w:w="144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335</w:t>
            </w:r>
          </w:p>
        </w:tc>
        <w:tc>
          <w:tcPr>
            <w:tcW w:w="1350"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510</w:t>
            </w:r>
          </w:p>
        </w:tc>
        <w:tc>
          <w:tcPr>
            <w:tcW w:w="1067" w:type="dxa"/>
            <w:tcBorders>
              <w:top w:val="single" w:sz="8" w:space="0" w:color="FFFFFF"/>
              <w:left w:val="single" w:sz="8" w:space="0" w:color="FFFFFF"/>
              <w:bottom w:val="single" w:sz="8" w:space="0" w:color="FFFFFF"/>
              <w:right w:val="single" w:sz="8" w:space="0" w:color="FFFFFF"/>
            </w:tcBorders>
            <w:shd w:val="clear" w:color="auto" w:fill="B7D8A0"/>
          </w:tcPr>
          <w:p w:rsidR="00E70294" w:rsidRPr="00C12FB8" w:rsidRDefault="00E70294" w:rsidP="00012A5C">
            <w:pPr>
              <w:spacing w:line="360" w:lineRule="auto"/>
              <w:jc w:val="center"/>
              <w:rPr>
                <w:rFonts w:ascii="Arial" w:hAnsi="Arial" w:cs="Arial"/>
                <w:color w:val="000000"/>
                <w:sz w:val="24"/>
                <w:szCs w:val="24"/>
                <w:lang w:val="ms-MY"/>
              </w:rPr>
            </w:pPr>
            <w:r w:rsidRPr="00C12FB8">
              <w:rPr>
                <w:rFonts w:ascii="Arial" w:hAnsi="Arial" w:cs="Arial"/>
                <w:color w:val="000000"/>
                <w:sz w:val="24"/>
                <w:szCs w:val="24"/>
                <w:lang w:val="ms-MY"/>
              </w:rPr>
              <w:t>845</w:t>
            </w:r>
          </w:p>
        </w:tc>
      </w:tr>
      <w:tr w:rsidR="00E70294" w:rsidRPr="00C12FB8" w:rsidTr="00012A5C">
        <w:tc>
          <w:tcPr>
            <w:tcW w:w="2862" w:type="dxa"/>
            <w:tcBorders>
              <w:left w:val="single" w:sz="8" w:space="0" w:color="FFFFFF"/>
              <w:right w:val="single" w:sz="24" w:space="0" w:color="FFFFFF"/>
            </w:tcBorders>
            <w:shd w:val="clear" w:color="auto" w:fill="70AD47"/>
          </w:tcPr>
          <w:p w:rsidR="00E70294" w:rsidRPr="00C12FB8" w:rsidRDefault="00E70294" w:rsidP="00012A5C">
            <w:pPr>
              <w:spacing w:line="360" w:lineRule="auto"/>
              <w:jc w:val="center"/>
              <w:rPr>
                <w:rFonts w:ascii="Arial" w:hAnsi="Arial" w:cs="Arial"/>
                <w:b/>
                <w:bCs/>
                <w:color w:val="000000"/>
                <w:sz w:val="24"/>
                <w:szCs w:val="24"/>
                <w:lang w:val="ms-MY"/>
              </w:rPr>
            </w:pPr>
            <w:r w:rsidRPr="00C12FB8">
              <w:rPr>
                <w:rFonts w:ascii="Arial" w:hAnsi="Arial" w:cs="Arial"/>
                <w:b/>
                <w:bCs/>
                <w:color w:val="000000"/>
                <w:sz w:val="24"/>
                <w:szCs w:val="24"/>
                <w:lang w:val="ms-MY"/>
              </w:rPr>
              <w:t>JUMLAH</w:t>
            </w:r>
          </w:p>
        </w:tc>
        <w:tc>
          <w:tcPr>
            <w:tcW w:w="936" w:type="dxa"/>
            <w:shd w:val="clear" w:color="auto" w:fill="DBEBD0"/>
          </w:tcPr>
          <w:p w:rsidR="00E70294" w:rsidRPr="00C12FB8" w:rsidRDefault="00E70294" w:rsidP="00012A5C">
            <w:pPr>
              <w:spacing w:line="360" w:lineRule="auto"/>
              <w:jc w:val="center"/>
              <w:rPr>
                <w:rFonts w:ascii="Arial" w:hAnsi="Arial" w:cs="Arial"/>
                <w:b/>
                <w:color w:val="000000"/>
                <w:sz w:val="24"/>
                <w:szCs w:val="24"/>
                <w:lang w:val="ms-MY"/>
              </w:rPr>
            </w:pPr>
          </w:p>
        </w:tc>
        <w:tc>
          <w:tcPr>
            <w:tcW w:w="1440" w:type="dxa"/>
            <w:shd w:val="clear" w:color="auto" w:fill="DBEBD0"/>
          </w:tcPr>
          <w:p w:rsidR="00E70294" w:rsidRPr="00C12FB8" w:rsidRDefault="00E70294" w:rsidP="00012A5C">
            <w:pPr>
              <w:spacing w:line="360" w:lineRule="auto"/>
              <w:jc w:val="center"/>
              <w:rPr>
                <w:rFonts w:ascii="Arial" w:hAnsi="Arial" w:cs="Arial"/>
                <w:b/>
                <w:color w:val="000000"/>
                <w:sz w:val="24"/>
                <w:szCs w:val="24"/>
                <w:lang w:val="ms-MY"/>
              </w:rPr>
            </w:pPr>
            <w:r w:rsidRPr="00C12FB8">
              <w:rPr>
                <w:rFonts w:ascii="Arial" w:hAnsi="Arial" w:cs="Arial"/>
                <w:b/>
                <w:color w:val="000000"/>
                <w:sz w:val="24"/>
                <w:szCs w:val="24"/>
                <w:lang w:val="ms-MY"/>
              </w:rPr>
              <w:t>2671</w:t>
            </w:r>
          </w:p>
        </w:tc>
        <w:tc>
          <w:tcPr>
            <w:tcW w:w="1350" w:type="dxa"/>
            <w:shd w:val="clear" w:color="auto" w:fill="DBEBD0"/>
          </w:tcPr>
          <w:p w:rsidR="00E70294" w:rsidRPr="00C12FB8" w:rsidRDefault="00E70294" w:rsidP="00012A5C">
            <w:pPr>
              <w:spacing w:line="360" w:lineRule="auto"/>
              <w:jc w:val="center"/>
              <w:rPr>
                <w:rFonts w:ascii="Arial" w:hAnsi="Arial" w:cs="Arial"/>
                <w:b/>
                <w:color w:val="000000"/>
                <w:sz w:val="24"/>
                <w:szCs w:val="24"/>
                <w:lang w:val="ms-MY"/>
              </w:rPr>
            </w:pPr>
            <w:r w:rsidRPr="00C12FB8">
              <w:rPr>
                <w:rFonts w:ascii="Arial" w:hAnsi="Arial" w:cs="Arial"/>
                <w:b/>
                <w:color w:val="000000"/>
                <w:sz w:val="24"/>
                <w:szCs w:val="24"/>
                <w:lang w:val="ms-MY"/>
              </w:rPr>
              <w:t>3054</w:t>
            </w:r>
          </w:p>
        </w:tc>
        <w:tc>
          <w:tcPr>
            <w:tcW w:w="1067" w:type="dxa"/>
            <w:shd w:val="clear" w:color="auto" w:fill="DBEBD0"/>
          </w:tcPr>
          <w:p w:rsidR="00E70294" w:rsidRPr="00C12FB8" w:rsidRDefault="00E70294" w:rsidP="00012A5C">
            <w:pPr>
              <w:spacing w:line="360" w:lineRule="auto"/>
              <w:jc w:val="center"/>
              <w:rPr>
                <w:rFonts w:ascii="Arial" w:hAnsi="Arial" w:cs="Arial"/>
                <w:b/>
                <w:color w:val="000000"/>
                <w:sz w:val="24"/>
                <w:szCs w:val="24"/>
                <w:lang w:val="ms-MY"/>
              </w:rPr>
            </w:pPr>
            <w:r w:rsidRPr="00C12FB8">
              <w:rPr>
                <w:rFonts w:ascii="Arial" w:hAnsi="Arial" w:cs="Arial"/>
                <w:b/>
                <w:color w:val="000000"/>
                <w:sz w:val="24"/>
                <w:szCs w:val="24"/>
                <w:lang w:val="ms-MY"/>
              </w:rPr>
              <w:t>5725</w:t>
            </w:r>
          </w:p>
        </w:tc>
      </w:tr>
    </w:tbl>
    <w:p w:rsidR="00E70294" w:rsidRDefault="00E70294" w:rsidP="00E70294">
      <w:pPr>
        <w:spacing w:line="360" w:lineRule="auto"/>
        <w:jc w:val="center"/>
        <w:rPr>
          <w:rFonts w:ascii="Arial" w:hAnsi="Arial" w:cs="Arial"/>
          <w:b/>
          <w:sz w:val="24"/>
          <w:szCs w:val="24"/>
          <w:lang w:val="ms-MY"/>
        </w:rPr>
      </w:pPr>
    </w:p>
    <w:p w:rsidR="00E70294" w:rsidRPr="0086684B" w:rsidRDefault="00E70294" w:rsidP="00E70294">
      <w:pPr>
        <w:spacing w:line="360" w:lineRule="auto"/>
        <w:jc w:val="center"/>
        <w:rPr>
          <w:rFonts w:ascii="Arial" w:hAnsi="Arial" w:cs="Arial"/>
          <w:b/>
          <w:sz w:val="24"/>
          <w:szCs w:val="24"/>
          <w:lang w:val="ms-MY"/>
        </w:rPr>
      </w:pPr>
      <w:r w:rsidRPr="0086684B">
        <w:rPr>
          <w:rFonts w:ascii="Arial" w:hAnsi="Arial" w:cs="Arial"/>
          <w:b/>
          <w:sz w:val="24"/>
          <w:szCs w:val="24"/>
          <w:lang w:val="ms-MY"/>
        </w:rPr>
        <w:t xml:space="preserve">STRUKTUR NPQEL </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Program NPQEL kaedah ba</w:t>
      </w:r>
      <w:r>
        <w:rPr>
          <w:rFonts w:ascii="Arial" w:hAnsi="Arial" w:cs="Arial"/>
          <w:color w:val="000000"/>
          <w:sz w:val="24"/>
          <w:szCs w:val="24"/>
          <w:lang w:val="ms-MY"/>
        </w:rPr>
        <w:t>ha</w:t>
      </w:r>
      <w:r w:rsidRPr="002A2849">
        <w:rPr>
          <w:rFonts w:ascii="Arial" w:hAnsi="Arial" w:cs="Arial"/>
          <w:color w:val="000000"/>
          <w:sz w:val="24"/>
          <w:szCs w:val="24"/>
          <w:lang w:val="ms-MY"/>
        </w:rPr>
        <w:t>ru bermula dengan Ambilan 1 yang memulakan pengajian pada bulan Julai 2011. Kaedah ba</w:t>
      </w:r>
      <w:r>
        <w:rPr>
          <w:rFonts w:ascii="Arial" w:hAnsi="Arial" w:cs="Arial"/>
          <w:color w:val="000000"/>
          <w:sz w:val="24"/>
          <w:szCs w:val="24"/>
          <w:lang w:val="ms-MY"/>
        </w:rPr>
        <w:t>ha</w:t>
      </w:r>
      <w:r w:rsidRPr="002A2849">
        <w:rPr>
          <w:rFonts w:ascii="Arial" w:hAnsi="Arial" w:cs="Arial"/>
          <w:color w:val="000000"/>
          <w:sz w:val="24"/>
          <w:szCs w:val="24"/>
          <w:lang w:val="ms-MY"/>
        </w:rPr>
        <w:t>ru merangkumi pengajian secara bersemuka dan</w:t>
      </w:r>
      <w:r>
        <w:rPr>
          <w:rFonts w:ascii="Arial" w:hAnsi="Arial" w:cs="Arial"/>
          <w:color w:val="000000"/>
          <w:sz w:val="24"/>
          <w:szCs w:val="24"/>
          <w:lang w:val="ms-MY"/>
        </w:rPr>
        <w:t xml:space="preserve"> </w:t>
      </w:r>
      <w:r w:rsidRPr="002A2849">
        <w:rPr>
          <w:rFonts w:ascii="Arial" w:hAnsi="Arial" w:cs="Arial"/>
          <w:color w:val="000000"/>
          <w:sz w:val="24"/>
          <w:szCs w:val="24"/>
          <w:lang w:val="ms-MY"/>
        </w:rPr>
        <w:t xml:space="preserve">e-Pembelajaran selama 5 bulan. Tempoh bersemuka keseluruhan adalah selama 6 minggu manakala 14 minggu lagi dikendalikan secara </w:t>
      </w:r>
      <w:r w:rsidRPr="00C41D60">
        <w:rPr>
          <w:rFonts w:ascii="Arial" w:hAnsi="Arial" w:cs="Arial"/>
          <w:color w:val="000000"/>
          <w:sz w:val="24"/>
          <w:szCs w:val="24"/>
          <w:lang w:val="ms-MY"/>
        </w:rPr>
        <w:t>e-Pembelajaran</w:t>
      </w:r>
      <w:r w:rsidRPr="002A2849">
        <w:rPr>
          <w:rFonts w:ascii="Arial" w:hAnsi="Arial" w:cs="Arial"/>
          <w:color w:val="000000"/>
          <w:sz w:val="24"/>
          <w:szCs w:val="24"/>
          <w:lang w:val="ms-MY"/>
        </w:rPr>
        <w:t xml:space="preserve">. Dalam tempoh 14 minggu secara </w:t>
      </w:r>
      <w:r w:rsidRPr="00C41D60">
        <w:rPr>
          <w:rFonts w:ascii="Arial" w:hAnsi="Arial" w:cs="Arial"/>
          <w:color w:val="000000"/>
          <w:sz w:val="24"/>
          <w:szCs w:val="24"/>
          <w:lang w:val="ms-MY"/>
        </w:rPr>
        <w:t>e-Pembelajaran</w:t>
      </w:r>
      <w:r w:rsidRPr="002A2849">
        <w:rPr>
          <w:rFonts w:ascii="Arial" w:hAnsi="Arial" w:cs="Arial"/>
          <w:color w:val="000000"/>
          <w:sz w:val="24"/>
          <w:szCs w:val="24"/>
          <w:lang w:val="ms-MY"/>
        </w:rPr>
        <w:t xml:space="preserve"> itu juga terdapat dua lagi aktiviti penting iaitu Program Penandaarasan selama 2 minggu dan Program Sandaran selama 8 minggu. Dua aktiviti ini merupakan elemen konsultasi dalam Program NPQEL. Model bagi Program NPQEL kaedah ba</w:t>
      </w:r>
      <w:r>
        <w:rPr>
          <w:rFonts w:ascii="Arial" w:hAnsi="Arial" w:cs="Arial"/>
          <w:color w:val="000000"/>
          <w:sz w:val="24"/>
          <w:szCs w:val="24"/>
          <w:lang w:val="ms-MY"/>
        </w:rPr>
        <w:t>ha</w:t>
      </w:r>
      <w:r w:rsidRPr="002A2849">
        <w:rPr>
          <w:rFonts w:ascii="Arial" w:hAnsi="Arial" w:cs="Arial"/>
          <w:color w:val="000000"/>
          <w:sz w:val="24"/>
          <w:szCs w:val="24"/>
          <w:lang w:val="ms-MY"/>
        </w:rPr>
        <w:t>ru ini yang mengadunkan pembelajaran secara bersemuka, e-</w:t>
      </w:r>
      <w:r>
        <w:rPr>
          <w:rFonts w:ascii="Arial" w:hAnsi="Arial" w:cs="Arial"/>
          <w:color w:val="000000"/>
          <w:sz w:val="24"/>
          <w:szCs w:val="24"/>
          <w:lang w:val="ms-MY"/>
        </w:rPr>
        <w:t>P</w:t>
      </w:r>
      <w:r w:rsidRPr="002A2849">
        <w:rPr>
          <w:rFonts w:ascii="Arial" w:hAnsi="Arial" w:cs="Arial"/>
          <w:color w:val="000000"/>
          <w:sz w:val="24"/>
          <w:szCs w:val="24"/>
          <w:lang w:val="ms-MY"/>
        </w:rPr>
        <w:t xml:space="preserve">embelajaran dan konsultasi adalah seperti Rajah 1 berikut: </w:t>
      </w:r>
    </w:p>
    <w:p w:rsidR="00E70294" w:rsidRPr="002A2849" w:rsidRDefault="00E70294" w:rsidP="00E70294">
      <w:pPr>
        <w:spacing w:line="360" w:lineRule="auto"/>
        <w:ind w:firstLine="720"/>
        <w:jc w:val="both"/>
        <w:rPr>
          <w:rFonts w:ascii="Arial" w:hAnsi="Arial" w:cs="Arial"/>
          <w:color w:val="000000"/>
          <w:sz w:val="24"/>
          <w:szCs w:val="24"/>
          <w:lang w:val="ms-MY"/>
        </w:rPr>
      </w:pPr>
      <w:r w:rsidRPr="002A2849">
        <w:rPr>
          <w:rFonts w:ascii="Arial" w:hAnsi="Arial" w:cs="Arial"/>
          <w:noProof/>
          <w:color w:val="000000"/>
          <w:sz w:val="24"/>
          <w:szCs w:val="24"/>
          <w:lang w:val="en-MY" w:eastAsia="en-MY"/>
        </w:rPr>
        <mc:AlternateContent>
          <mc:Choice Requires="wps">
            <w:drawing>
              <wp:anchor distT="0" distB="0" distL="114300" distR="114300" simplePos="0" relativeHeight="251660288" behindDoc="0" locked="0" layoutInCell="1" allowOverlap="1">
                <wp:simplePos x="0" y="0"/>
                <wp:positionH relativeFrom="column">
                  <wp:posOffset>827405</wp:posOffset>
                </wp:positionH>
                <wp:positionV relativeFrom="paragraph">
                  <wp:posOffset>3321050</wp:posOffset>
                </wp:positionV>
                <wp:extent cx="2520950" cy="276225"/>
                <wp:effectExtent l="698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76225"/>
                        </a:xfrm>
                        <a:prstGeom prst="rect">
                          <a:avLst/>
                        </a:prstGeom>
                        <a:solidFill>
                          <a:srgbClr val="FFFFFF"/>
                        </a:solidFill>
                        <a:ln w="9525">
                          <a:solidFill>
                            <a:srgbClr val="FFFFFF"/>
                          </a:solidFill>
                          <a:miter lim="800000"/>
                          <a:headEnd/>
                          <a:tailEnd/>
                        </a:ln>
                      </wps:spPr>
                      <wps:txbx>
                        <w:txbxContent>
                          <w:p w:rsidR="00E70294" w:rsidRPr="007C1DE4" w:rsidRDefault="00E70294" w:rsidP="00E70294">
                            <w:pPr>
                              <w:jc w:val="center"/>
                              <w:rPr>
                                <w:rFonts w:ascii="Arial" w:hAnsi="Arial" w:cs="Arial"/>
                                <w:sz w:val="24"/>
                                <w:szCs w:val="24"/>
                              </w:rPr>
                            </w:pPr>
                            <w:r w:rsidRPr="007C1DE4">
                              <w:rPr>
                                <w:rFonts w:ascii="Arial" w:hAnsi="Arial" w:cs="Arial"/>
                                <w:sz w:val="24"/>
                                <w:szCs w:val="24"/>
                              </w:rPr>
                              <w:t>Rajah 1: Model Program NPQEL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 o:spid="_x0000_s1028" type="#_x0000_t202" style="position:absolute;left:0;text-align:left;margin-left:65.15pt;margin-top:261.5pt;width:198.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" strokecolor="white">
                <v:textbox style="mso-fit-shape-to-text:t">
                  <w:txbxContent>
                    <w:p w:rsidR="00E70294" w:rsidRPr="007C1DE4" w:rsidRDefault="00E70294" w:rsidP="00E70294">
                      <w:pPr>
                        <w:jc w:val="center"/>
                        <w:rPr>
                          <w:rFonts w:ascii="Arial" w:hAnsi="Arial" w:cs="Arial"/>
                          <w:sz w:val="24"/>
                          <w:szCs w:val="24"/>
                        </w:rPr>
                      </w:pPr>
                      <w:r w:rsidRPr="007C1DE4">
                        <w:rPr>
                          <w:rFonts w:ascii="Arial" w:hAnsi="Arial" w:cs="Arial"/>
                          <w:sz w:val="24"/>
                          <w:szCs w:val="24"/>
                        </w:rPr>
                        <w:t>Rajah 1: Model Program NPQEL</w:t>
                      </w:r>
                    </w:p>
                  </w:txbxContent>
                </v:textbox>
              </v:shape>
            </w:pict>
          </mc:Fallback>
        </mc:AlternateContent>
      </w:r>
      <w:r w:rsidRPr="002A2849">
        <w:rPr>
          <w:rFonts w:ascii="Arial" w:hAnsi="Arial" w:cs="Arial"/>
          <w:noProof/>
          <w:color w:val="000000"/>
          <w:sz w:val="24"/>
          <w:szCs w:val="24"/>
          <w:lang w:val="en-MY" w:eastAsia="en-MY"/>
        </w:rPr>
        <w:drawing>
          <wp:inline distT="0" distB="0" distL="0" distR="0">
            <wp:extent cx="3500755" cy="363728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0755" cy="3637280"/>
                    </a:xfrm>
                    <a:prstGeom prst="rect">
                      <a:avLst/>
                    </a:prstGeom>
                    <a:noFill/>
                    <a:ln>
                      <a:noFill/>
                    </a:ln>
                  </pic:spPr>
                </pic:pic>
              </a:graphicData>
            </a:graphic>
          </wp:inline>
        </w:drawing>
      </w:r>
    </w:p>
    <w:tbl>
      <w:tblPr>
        <w:tblpPr w:leftFromText="180" w:rightFromText="180" w:vertAnchor="page" w:horzAnchor="margin" w:tblpY="2133"/>
        <w:tblW w:w="4752" w:type="pct"/>
        <w:tblCellMar>
          <w:left w:w="0" w:type="dxa"/>
          <w:right w:w="0" w:type="dxa"/>
        </w:tblCellMar>
        <w:tblLook w:val="04A0" w:firstRow="1" w:lastRow="0" w:firstColumn="1" w:lastColumn="0" w:noHBand="0" w:noVBand="1"/>
      </w:tblPr>
      <w:tblGrid>
        <w:gridCol w:w="1536"/>
        <w:gridCol w:w="2037"/>
        <w:gridCol w:w="1662"/>
        <w:gridCol w:w="1815"/>
        <w:gridCol w:w="2051"/>
      </w:tblGrid>
      <w:tr w:rsidR="00E70294" w:rsidRPr="002A2849" w:rsidTr="00012A5C">
        <w:trPr>
          <w:trHeight w:val="484"/>
        </w:trPr>
        <w:tc>
          <w:tcPr>
            <w:tcW w:w="1963" w:type="pct"/>
            <w:gridSpan w:val="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lastRenderedPageBreak/>
              <w:t>FASA 1</w:t>
            </w:r>
          </w:p>
        </w:tc>
        <w:tc>
          <w:tcPr>
            <w:tcW w:w="1910" w:type="pct"/>
            <w:gridSpan w:val="2"/>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FASA 2</w:t>
            </w:r>
          </w:p>
        </w:tc>
        <w:tc>
          <w:tcPr>
            <w:tcW w:w="1127" w:type="pct"/>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FASA 3</w:t>
            </w:r>
          </w:p>
        </w:tc>
      </w:tr>
      <w:tr w:rsidR="00E70294" w:rsidRPr="002A2849" w:rsidTr="00012A5C">
        <w:trPr>
          <w:trHeight w:val="4480"/>
        </w:trPr>
        <w:tc>
          <w:tcPr>
            <w:tcW w:w="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Bersemuka</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3 minggu</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di IAB</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tc>
        <w:tc>
          <w:tcPr>
            <w:tcW w:w="1119" w:type="pct"/>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iCs/>
                <w:color w:val="000000"/>
                <w:sz w:val="20"/>
                <w:szCs w:val="20"/>
                <w:lang w:val="ms-MY"/>
              </w:rPr>
              <w:t>e-Pembelajaran</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(2 minggu di sekolah sendiri)</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i/>
                <w:iCs/>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Penandaarasan</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(2 minggu di sekolah terpilih)</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i/>
                <w:iCs/>
                <w:color w:val="000000"/>
                <w:sz w:val="20"/>
                <w:szCs w:val="20"/>
                <w:lang w:val="ms-MY"/>
              </w:rPr>
              <w:t>+</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iCs/>
                <w:color w:val="000000"/>
                <w:sz w:val="20"/>
                <w:szCs w:val="20"/>
                <w:lang w:val="ms-MY"/>
              </w:rPr>
              <w:t>e-Pembelajaran</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(2 minggu di sekolah sendiri)</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Bersemuka</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Peperiksaan Fasa 1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2 minggu</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di IAB</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iCs/>
                <w:color w:val="000000"/>
                <w:sz w:val="20"/>
                <w:szCs w:val="20"/>
                <w:lang w:val="ms-MY"/>
              </w:rPr>
              <w:t>e-Pembelajaran</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i/>
                <w:iCs/>
                <w:color w:val="000000"/>
                <w:sz w:val="20"/>
                <w:szCs w:val="20"/>
                <w:lang w:val="ms-MY"/>
              </w:rPr>
              <w:t>+</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Sandaran</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 </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8 minggu</w:t>
            </w:r>
          </w:p>
          <w:p w:rsidR="00E70294" w:rsidRPr="002A2849" w:rsidRDefault="00E70294" w:rsidP="00012A5C">
            <w:pPr>
              <w:shd w:val="clear" w:color="auto" w:fill="8DB3E2"/>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di sekolah sendiri </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E70294" w:rsidRPr="002A2849" w:rsidRDefault="00E70294" w:rsidP="00012A5C">
            <w:pPr>
              <w:spacing w:after="60" w:line="276" w:lineRule="auto"/>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Bersemuka</w:t>
            </w:r>
          </w:p>
          <w:p w:rsidR="00E70294" w:rsidRPr="002A2849" w:rsidRDefault="00E70294" w:rsidP="00012A5C">
            <w:pPr>
              <w:spacing w:after="60" w:line="276" w:lineRule="auto"/>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Peperiksaan Akhir</w:t>
            </w:r>
          </w:p>
          <w:p w:rsidR="00E70294" w:rsidRPr="002A2849" w:rsidRDefault="00E70294" w:rsidP="00012A5C">
            <w:pPr>
              <w:spacing w:after="60" w:line="276" w:lineRule="auto"/>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Serahan Portfolio</w:t>
            </w:r>
          </w:p>
          <w:p w:rsidR="00E70294" w:rsidRPr="002A2849" w:rsidRDefault="00E70294" w:rsidP="00012A5C">
            <w:pPr>
              <w:spacing w:after="60" w:line="276" w:lineRule="auto"/>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Ujian Kecergasan</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KomponenKhas</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1 minggu</w:t>
            </w:r>
          </w:p>
          <w:p w:rsidR="00E70294" w:rsidRPr="002A2849" w:rsidRDefault="00E70294" w:rsidP="00012A5C">
            <w:pPr>
              <w:spacing w:after="60" w:line="276" w:lineRule="auto"/>
              <w:jc w:val="center"/>
              <w:rPr>
                <w:rFonts w:ascii="Arial" w:eastAsia="Times New Roman" w:hAnsi="Arial" w:cs="Arial"/>
                <w:color w:val="000000"/>
                <w:sz w:val="20"/>
                <w:szCs w:val="20"/>
                <w:lang w:val="ms-MY"/>
              </w:rPr>
            </w:pPr>
            <w:r w:rsidRPr="002A2849">
              <w:rPr>
                <w:rFonts w:ascii="Arial" w:eastAsia="Times New Roman" w:hAnsi="Arial" w:cs="Arial"/>
                <w:color w:val="000000"/>
                <w:sz w:val="20"/>
                <w:szCs w:val="20"/>
                <w:lang w:val="ms-MY"/>
              </w:rPr>
              <w:t>di IAB</w:t>
            </w:r>
          </w:p>
        </w:tc>
      </w:tr>
    </w:tbl>
    <w:p w:rsidR="00E70294" w:rsidRDefault="00E70294" w:rsidP="00E70294">
      <w:pPr>
        <w:jc w:val="both"/>
        <w:rPr>
          <w:rFonts w:ascii="Arial" w:hAnsi="Arial" w:cs="Arial"/>
          <w:color w:val="000000"/>
          <w:sz w:val="24"/>
          <w:szCs w:val="24"/>
          <w:lang w:val="ms-MY"/>
        </w:rPr>
      </w:pPr>
    </w:p>
    <w:p w:rsidR="00E70294" w:rsidRDefault="00E70294" w:rsidP="00E70294">
      <w:pPr>
        <w:jc w:val="both"/>
        <w:rPr>
          <w:rFonts w:ascii="Arial" w:hAnsi="Arial" w:cs="Arial"/>
          <w:color w:val="000000"/>
          <w:sz w:val="24"/>
          <w:szCs w:val="24"/>
          <w:lang w:val="ms-MY"/>
        </w:rPr>
      </w:pPr>
    </w:p>
    <w:p w:rsidR="00E70294" w:rsidRPr="002A2849" w:rsidRDefault="00E70294" w:rsidP="00E70294">
      <w:pPr>
        <w:jc w:val="both"/>
        <w:rPr>
          <w:rFonts w:ascii="Arial" w:hAnsi="Arial" w:cs="Arial"/>
          <w:b/>
          <w:color w:val="000000"/>
          <w:sz w:val="24"/>
          <w:szCs w:val="24"/>
          <w:lang w:val="ms-MY"/>
        </w:rPr>
      </w:pPr>
      <w:r w:rsidRPr="002A2849">
        <w:rPr>
          <w:rFonts w:ascii="Arial" w:hAnsi="Arial" w:cs="Arial"/>
          <w:color w:val="000000"/>
          <w:sz w:val="24"/>
          <w:szCs w:val="24"/>
          <w:lang w:val="ms-MY"/>
        </w:rPr>
        <w:t xml:space="preserve">Struktur program NPQEL mulai tahun 2011 adalah seperti dalam Rajah </w:t>
      </w:r>
      <w:r>
        <w:rPr>
          <w:rFonts w:ascii="Arial" w:hAnsi="Arial" w:cs="Arial"/>
          <w:color w:val="000000"/>
          <w:sz w:val="24"/>
          <w:szCs w:val="24"/>
          <w:lang w:val="ms-MY"/>
        </w:rPr>
        <w:t>2</w:t>
      </w:r>
      <w:r w:rsidRPr="002A2849">
        <w:rPr>
          <w:rFonts w:ascii="Arial" w:hAnsi="Arial" w:cs="Arial"/>
          <w:color w:val="000000"/>
          <w:sz w:val="24"/>
          <w:szCs w:val="24"/>
          <w:lang w:val="ms-MY"/>
        </w:rPr>
        <w:t xml:space="preserve"> berikut:</w:t>
      </w:r>
    </w:p>
    <w:p w:rsidR="00E70294" w:rsidRPr="002A2849" w:rsidRDefault="00E70294" w:rsidP="00E70294">
      <w:pPr>
        <w:jc w:val="center"/>
        <w:rPr>
          <w:rFonts w:ascii="Arial" w:hAnsi="Arial" w:cs="Arial"/>
          <w:color w:val="000000"/>
          <w:sz w:val="24"/>
          <w:szCs w:val="24"/>
          <w:lang w:val="ms-MY"/>
        </w:rPr>
      </w:pPr>
    </w:p>
    <w:p w:rsidR="00E70294" w:rsidRPr="002A2849" w:rsidRDefault="00E70294" w:rsidP="00E70294">
      <w:pPr>
        <w:jc w:val="center"/>
        <w:rPr>
          <w:rFonts w:ascii="Arial" w:hAnsi="Arial" w:cs="Arial"/>
          <w:color w:val="000000"/>
          <w:sz w:val="24"/>
          <w:szCs w:val="24"/>
          <w:lang w:val="ms-MY"/>
        </w:rPr>
      </w:pPr>
    </w:p>
    <w:p w:rsidR="00E70294" w:rsidRPr="002A2849" w:rsidRDefault="00E70294" w:rsidP="00E70294">
      <w:pPr>
        <w:jc w:val="center"/>
        <w:rPr>
          <w:rFonts w:ascii="Arial" w:hAnsi="Arial" w:cs="Arial"/>
          <w:color w:val="000000"/>
          <w:sz w:val="24"/>
          <w:szCs w:val="24"/>
          <w:lang w:val="ms-MY"/>
        </w:rPr>
      </w:pPr>
      <w:r w:rsidRPr="002A2849">
        <w:rPr>
          <w:rFonts w:ascii="Arial" w:hAnsi="Arial" w:cs="Arial"/>
          <w:color w:val="000000"/>
          <w:sz w:val="24"/>
          <w:szCs w:val="24"/>
          <w:lang w:val="ms-MY"/>
        </w:rPr>
        <w:t xml:space="preserve">Rajah </w:t>
      </w:r>
      <w:r>
        <w:rPr>
          <w:rFonts w:ascii="Arial" w:hAnsi="Arial" w:cs="Arial"/>
          <w:color w:val="000000"/>
          <w:sz w:val="24"/>
          <w:szCs w:val="24"/>
          <w:lang w:val="ms-MY"/>
        </w:rPr>
        <w:t>2</w:t>
      </w:r>
      <w:r w:rsidRPr="002A2849">
        <w:rPr>
          <w:rFonts w:ascii="Arial" w:hAnsi="Arial" w:cs="Arial"/>
          <w:color w:val="000000"/>
          <w:sz w:val="24"/>
          <w:szCs w:val="24"/>
          <w:lang w:val="ms-MY"/>
        </w:rPr>
        <w:t>: Struktur NPQEL</w:t>
      </w:r>
    </w:p>
    <w:p w:rsidR="00E70294" w:rsidRPr="002A2849" w:rsidRDefault="00E70294" w:rsidP="00E70294">
      <w:pPr>
        <w:spacing w:line="360" w:lineRule="auto"/>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Fasa e-Pembelajaran merangkumi pembelajaran dan aktivit</w:t>
      </w:r>
      <w:r>
        <w:rPr>
          <w:rFonts w:ascii="Arial" w:hAnsi="Arial" w:cs="Arial"/>
          <w:color w:val="000000"/>
          <w:sz w:val="24"/>
          <w:szCs w:val="24"/>
          <w:lang w:val="ms-MY"/>
        </w:rPr>
        <w:t xml:space="preserve">i atas talian. Selain </w:t>
      </w:r>
      <w:r w:rsidRPr="002A2849">
        <w:rPr>
          <w:rFonts w:ascii="Arial" w:hAnsi="Arial" w:cs="Arial"/>
          <w:color w:val="000000"/>
          <w:sz w:val="24"/>
          <w:szCs w:val="24"/>
          <w:lang w:val="ms-MY"/>
        </w:rPr>
        <w:t xml:space="preserve">nota tambahan dan bahan-bahan bacaan seperti surat pekeliling, artikel ilmiah dan video, terdapat juga pelbagai aktiviti latihan dan penilaian seperti kuiz, uji minda, forum dan tugasan. </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 xml:space="preserve">Peserta yang mengikuti program NPQEL kaedah baru ini tidak perlu melepaskan jawatan yang mereka sandang </w:t>
      </w:r>
      <w:r>
        <w:rPr>
          <w:rFonts w:ascii="Arial" w:hAnsi="Arial" w:cs="Arial"/>
          <w:color w:val="000000"/>
          <w:sz w:val="24"/>
          <w:szCs w:val="24"/>
          <w:lang w:val="ms-MY"/>
        </w:rPr>
        <w:t xml:space="preserve">apabila mengikuti program ini. </w:t>
      </w:r>
      <w:r w:rsidRPr="002A2849">
        <w:rPr>
          <w:rFonts w:ascii="Arial" w:hAnsi="Arial" w:cs="Arial"/>
          <w:color w:val="000000"/>
          <w:sz w:val="24"/>
          <w:szCs w:val="24"/>
          <w:lang w:val="ms-MY"/>
        </w:rPr>
        <w:t>Peserta dikehendaki mengikuti pengajian secara bersemuka di IAB dan kemudiannya kembali menjalankan tugas hakiki mereka di sekolah/organisasi. Oleh yang demikian, program NPQEL kini menggunakan pendekatan kursus dalam perkhidmatan seperti kursus CPD (</w:t>
      </w:r>
      <w:r w:rsidRPr="002A2849">
        <w:rPr>
          <w:rFonts w:ascii="Arial" w:hAnsi="Arial" w:cs="Arial"/>
          <w:i/>
          <w:color w:val="000000"/>
          <w:sz w:val="24"/>
          <w:szCs w:val="24"/>
          <w:lang w:val="ms-MY"/>
        </w:rPr>
        <w:t>Continuous Professional Development</w:t>
      </w:r>
      <w:r w:rsidRPr="002A2849">
        <w:rPr>
          <w:rFonts w:ascii="Arial" w:hAnsi="Arial" w:cs="Arial"/>
          <w:color w:val="000000"/>
          <w:sz w:val="24"/>
          <w:szCs w:val="24"/>
          <w:lang w:val="ms-MY"/>
        </w:rPr>
        <w:t>) yang lain.</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 xml:space="preserve">Satu lagi perubahan yang dilakukan kepada program NPQEL adalah dari segi pertautan program ini dengan lanjutan pengajian oleh peserta seterusnya ke IPTA bagi ijazah </w:t>
      </w:r>
      <w:r w:rsidRPr="002A2849">
        <w:rPr>
          <w:rFonts w:ascii="Arial" w:hAnsi="Arial" w:cs="Arial"/>
          <w:color w:val="000000"/>
          <w:sz w:val="24"/>
          <w:szCs w:val="24"/>
          <w:lang w:val="ms-MY"/>
        </w:rPr>
        <w:lastRenderedPageBreak/>
        <w:t>pertama dan sarjana.  Mulai pengambilan Julai 2011, tidak ada lagi pertautan dengan lanjutan pengajian dan ini membolehkan penyertaan dalam program NPQEL tanpa sebarang syarat had umur.</w:t>
      </w:r>
    </w:p>
    <w:p w:rsidR="00E70294" w:rsidRPr="002A2849" w:rsidRDefault="00E70294" w:rsidP="00E70294">
      <w:pPr>
        <w:spacing w:line="360" w:lineRule="auto"/>
        <w:jc w:val="both"/>
        <w:rPr>
          <w:rFonts w:ascii="Arial" w:hAnsi="Arial" w:cs="Arial"/>
          <w:color w:val="FF0000"/>
          <w:sz w:val="24"/>
          <w:szCs w:val="24"/>
          <w:lang w:val="ms-MY"/>
        </w:rPr>
      </w:pPr>
    </w:p>
    <w:p w:rsidR="00E70294" w:rsidRPr="005D5D61" w:rsidRDefault="00E70294" w:rsidP="00E70294">
      <w:pPr>
        <w:spacing w:line="360" w:lineRule="auto"/>
        <w:jc w:val="both"/>
        <w:rPr>
          <w:rFonts w:ascii="Arial" w:hAnsi="Arial" w:cs="Arial"/>
          <w:sz w:val="24"/>
          <w:szCs w:val="24"/>
          <w:lang w:val="ms-MY"/>
        </w:rPr>
      </w:pPr>
      <w:r w:rsidRPr="005D5D61">
        <w:rPr>
          <w:rFonts w:ascii="Arial" w:hAnsi="Arial" w:cs="Arial"/>
          <w:sz w:val="24"/>
          <w:szCs w:val="24"/>
          <w:lang w:val="ms-MY"/>
        </w:rPr>
        <w:t>Berdasarkan laporan awal Pelan Pembangunan Pendidikan Malaysia (PPPM) 2013-2025, program NPQEL diberikan penarafan seperti berikut;</w:t>
      </w:r>
    </w:p>
    <w:p w:rsidR="00E70294" w:rsidRPr="005D5D61" w:rsidRDefault="00E70294" w:rsidP="00E70294">
      <w:pPr>
        <w:spacing w:line="360" w:lineRule="auto"/>
        <w:jc w:val="both"/>
        <w:rPr>
          <w:rFonts w:ascii="Arial" w:hAnsi="Arial" w:cs="Arial"/>
          <w:sz w:val="24"/>
          <w:szCs w:val="24"/>
          <w:lang w:val="ms-MY"/>
        </w:rPr>
      </w:pPr>
      <w:r w:rsidRPr="005D5D61">
        <w:rPr>
          <w:rFonts w:ascii="Arial" w:hAnsi="Arial" w:cs="Arial"/>
          <w:sz w:val="24"/>
          <w:szCs w:val="24"/>
          <w:lang w:val="ms-MY"/>
        </w:rPr>
        <w:tab/>
      </w:r>
    </w:p>
    <w:p w:rsidR="00E70294" w:rsidRPr="007F0E32" w:rsidRDefault="00E70294" w:rsidP="00E70294">
      <w:pPr>
        <w:spacing w:line="360" w:lineRule="auto"/>
        <w:ind w:left="720"/>
        <w:jc w:val="both"/>
        <w:rPr>
          <w:rFonts w:ascii="Arial" w:hAnsi="Arial" w:cs="Arial"/>
          <w:szCs w:val="20"/>
          <w:lang w:val="ms-MY"/>
        </w:rPr>
      </w:pPr>
      <w:r w:rsidRPr="007F0E32">
        <w:rPr>
          <w:rFonts w:ascii="Arial" w:hAnsi="Arial" w:cs="Arial"/>
          <w:szCs w:val="20"/>
          <w:lang w:val="ms-MY"/>
        </w:rPr>
        <w:t>Setiap Pengetua/guru besar juga dikehendaki mendapatkan sijil Kelayakan Profesional Pemimpin Pendidikan Kebangsaan (NPQEL) daripada Institut Aminuddin Baki (IAB) sebelum boleh dilantik sebagai Pengetua/ Guru Besar. Penetapan syarat ini dijangka menyebabkan purata umur Pengetua menurun, dan membolehkan mereka berkhidmat bagi tempoh yang lebih lama di setiap sekolah dan dalam sistem pendidikan secara keseluruhannya (PPPM, 2012: E-27).</w:t>
      </w:r>
    </w:p>
    <w:p w:rsidR="00E70294" w:rsidRPr="002A2849" w:rsidRDefault="00E70294" w:rsidP="00E70294">
      <w:pPr>
        <w:spacing w:line="360" w:lineRule="auto"/>
        <w:jc w:val="both"/>
        <w:rPr>
          <w:rFonts w:ascii="Arial" w:hAnsi="Arial" w:cs="Arial"/>
          <w:color w:val="FF0000"/>
          <w:sz w:val="24"/>
          <w:szCs w:val="24"/>
          <w:lang w:val="ms-MY"/>
        </w:rPr>
      </w:pPr>
    </w:p>
    <w:p w:rsidR="00E70294" w:rsidRPr="005D5D61" w:rsidRDefault="00E70294" w:rsidP="00E70294">
      <w:pPr>
        <w:spacing w:line="360" w:lineRule="auto"/>
        <w:jc w:val="both"/>
        <w:rPr>
          <w:rFonts w:ascii="Arial" w:hAnsi="Arial" w:cs="Arial"/>
          <w:color w:val="FF0000"/>
          <w:sz w:val="24"/>
          <w:szCs w:val="24"/>
          <w:lang w:val="ms-MY"/>
        </w:rPr>
      </w:pPr>
      <w:r w:rsidRPr="005D5D61">
        <w:rPr>
          <w:rFonts w:ascii="Arial" w:hAnsi="Arial" w:cs="Arial"/>
          <w:sz w:val="24"/>
          <w:szCs w:val="24"/>
          <w:lang w:val="ms-MY"/>
        </w:rPr>
        <w:t xml:space="preserve">Program NPQEL bermula dengan penawaran program ini sehinggalah kepada majlis komensmen. Carta alir pelaksanaan program NPQEL adalah seperti dalam </w:t>
      </w:r>
      <w:r w:rsidRPr="005D5D61">
        <w:rPr>
          <w:rFonts w:ascii="Arial" w:hAnsi="Arial" w:cs="Arial"/>
          <w:color w:val="FF0000"/>
          <w:sz w:val="24"/>
          <w:szCs w:val="24"/>
          <w:shd w:val="clear" w:color="auto" w:fill="F2F2F2"/>
          <w:lang w:val="ms-MY"/>
        </w:rPr>
        <w:t xml:space="preserve">Lampiran </w:t>
      </w:r>
      <w:r>
        <w:rPr>
          <w:rFonts w:ascii="Arial" w:hAnsi="Arial" w:cs="Arial"/>
          <w:color w:val="FF0000"/>
          <w:sz w:val="24"/>
          <w:szCs w:val="24"/>
          <w:shd w:val="clear" w:color="auto" w:fill="F2F2F2"/>
          <w:lang w:val="ms-MY"/>
        </w:rPr>
        <w:t>A</w:t>
      </w:r>
      <w:r w:rsidRPr="005D5D61">
        <w:rPr>
          <w:rFonts w:ascii="Arial" w:hAnsi="Arial" w:cs="Arial"/>
          <w:color w:val="FF0000"/>
          <w:sz w:val="24"/>
          <w:szCs w:val="24"/>
          <w:shd w:val="clear" w:color="auto" w:fill="F2F2F2"/>
          <w:lang w:val="ms-MY"/>
        </w:rPr>
        <w:t>.</w:t>
      </w:r>
      <w:r w:rsidRPr="005D5D61">
        <w:rPr>
          <w:rFonts w:ascii="Arial" w:hAnsi="Arial" w:cs="Arial"/>
          <w:color w:val="FF0000"/>
          <w:sz w:val="24"/>
          <w:szCs w:val="24"/>
          <w:lang w:val="ms-MY"/>
        </w:rPr>
        <w:t xml:space="preserve"> </w:t>
      </w:r>
    </w:p>
    <w:p w:rsidR="00E70294" w:rsidRPr="002A2849" w:rsidRDefault="00E70294" w:rsidP="00E70294">
      <w:pPr>
        <w:jc w:val="both"/>
        <w:rPr>
          <w:rFonts w:ascii="Arial" w:hAnsi="Arial" w:cs="Arial"/>
          <w:color w:val="000000"/>
          <w:sz w:val="24"/>
          <w:szCs w:val="24"/>
          <w:lang w:val="ms-MY"/>
        </w:rPr>
      </w:pPr>
    </w:p>
    <w:p w:rsidR="00E70294" w:rsidRPr="002A2849" w:rsidRDefault="00E70294" w:rsidP="00E70294">
      <w:pPr>
        <w:jc w:val="both"/>
        <w:rPr>
          <w:rFonts w:ascii="Arial" w:hAnsi="Arial" w:cs="Arial"/>
          <w:color w:val="000000"/>
          <w:sz w:val="24"/>
          <w:szCs w:val="24"/>
          <w:lang w:val="ms-MY"/>
        </w:rPr>
      </w:pPr>
    </w:p>
    <w:p w:rsidR="00E70294" w:rsidRPr="002A2849" w:rsidRDefault="00E70294" w:rsidP="00E70294">
      <w:pPr>
        <w:spacing w:line="360" w:lineRule="auto"/>
        <w:jc w:val="center"/>
        <w:rPr>
          <w:rFonts w:ascii="Arial" w:hAnsi="Arial" w:cs="Arial"/>
          <w:b/>
          <w:color w:val="000000"/>
          <w:sz w:val="24"/>
          <w:szCs w:val="24"/>
          <w:lang w:val="ms-MY"/>
        </w:rPr>
      </w:pPr>
      <w:r w:rsidRPr="002A2849">
        <w:rPr>
          <w:rFonts w:ascii="Arial" w:hAnsi="Arial" w:cs="Arial"/>
          <w:b/>
          <w:color w:val="000000"/>
          <w:sz w:val="24"/>
          <w:szCs w:val="24"/>
          <w:lang w:val="ms-MY"/>
        </w:rPr>
        <w:t>RASIONAL &amp; OBJEKTIF PROGRAM</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b/>
          <w:color w:val="000000"/>
          <w:sz w:val="24"/>
          <w:szCs w:val="24"/>
          <w:lang w:val="ms-MY"/>
        </w:rPr>
      </w:pPr>
      <w:r w:rsidRPr="002A2849">
        <w:rPr>
          <w:rFonts w:ascii="Arial" w:hAnsi="Arial" w:cs="Arial"/>
          <w:b/>
          <w:color w:val="000000"/>
          <w:sz w:val="24"/>
          <w:szCs w:val="24"/>
          <w:lang w:val="ms-MY"/>
        </w:rPr>
        <w:t>Rasional</w:t>
      </w: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 xml:space="preserve">Tujuan utama program NPQEL adalah untuk menyediakan barisan pelapis pemimpin pendidikan yang mampu menerajui sekolah ke arah kecemerlangan. Program ini direka bentuk dengan mengambil kira kompetensi yang diperlukan oleh pengurus dan pemimpin sekolah dalam menerajui sekolah. </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Program ini juga memberi pengalaman terancang kepada peserta untuk memperoleh dan meningkatkan pengetahuan, kemahiran dan amalan terbaik dalam bidang pengurusan dan kepimpinan sekolah. Peserta juga berpeluang membina jaringan profesional ke arah penambahbaikan sekolah.</w:t>
      </w:r>
    </w:p>
    <w:p w:rsidR="00E70294" w:rsidRPr="002A2849" w:rsidRDefault="00E70294" w:rsidP="00E70294">
      <w:pPr>
        <w:spacing w:line="360" w:lineRule="auto"/>
        <w:jc w:val="both"/>
        <w:rPr>
          <w:rFonts w:ascii="Arial" w:hAnsi="Arial" w:cs="Arial"/>
          <w:color w:val="000000"/>
          <w:sz w:val="24"/>
          <w:szCs w:val="24"/>
          <w:lang w:val="ms-MY"/>
        </w:rPr>
      </w:pPr>
    </w:p>
    <w:p w:rsidR="00E70294" w:rsidRDefault="00E70294" w:rsidP="00E70294">
      <w:pPr>
        <w:spacing w:line="360" w:lineRule="auto"/>
        <w:jc w:val="both"/>
        <w:rPr>
          <w:rFonts w:ascii="Arial" w:hAnsi="Arial" w:cs="Arial"/>
          <w:b/>
          <w:color w:val="000000"/>
          <w:sz w:val="24"/>
          <w:szCs w:val="24"/>
          <w:lang w:val="ms-MY"/>
        </w:rPr>
      </w:pPr>
    </w:p>
    <w:p w:rsidR="00E70294" w:rsidRDefault="00E70294" w:rsidP="00E70294">
      <w:pPr>
        <w:spacing w:line="360" w:lineRule="auto"/>
        <w:jc w:val="both"/>
        <w:rPr>
          <w:rFonts w:ascii="Arial" w:hAnsi="Arial" w:cs="Arial"/>
          <w:b/>
          <w:color w:val="000000"/>
          <w:sz w:val="24"/>
          <w:szCs w:val="24"/>
          <w:lang w:val="ms-MY"/>
        </w:rPr>
      </w:pPr>
    </w:p>
    <w:p w:rsidR="00E70294" w:rsidRPr="002A2849" w:rsidRDefault="00E70294" w:rsidP="00E70294">
      <w:pPr>
        <w:spacing w:line="360" w:lineRule="auto"/>
        <w:jc w:val="both"/>
        <w:rPr>
          <w:rFonts w:ascii="Arial" w:hAnsi="Arial" w:cs="Arial"/>
          <w:b/>
          <w:color w:val="000000"/>
          <w:sz w:val="24"/>
          <w:szCs w:val="24"/>
          <w:lang w:val="ms-MY"/>
        </w:rPr>
      </w:pPr>
      <w:r w:rsidRPr="002A2849">
        <w:rPr>
          <w:rFonts w:ascii="Arial" w:hAnsi="Arial" w:cs="Arial"/>
          <w:b/>
          <w:color w:val="000000"/>
          <w:sz w:val="24"/>
          <w:szCs w:val="24"/>
          <w:lang w:val="ms-MY"/>
        </w:rPr>
        <w:t>Objektif</w:t>
      </w:r>
    </w:p>
    <w:p w:rsidR="00E70294" w:rsidRPr="002A2849" w:rsidRDefault="00E70294" w:rsidP="00E70294">
      <w:p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Pada akhir program ini, peserta dapat:</w:t>
      </w:r>
    </w:p>
    <w:p w:rsidR="00E70294" w:rsidRPr="002A2849" w:rsidRDefault="00E70294" w:rsidP="00E70294">
      <w:pPr>
        <w:pStyle w:val="ListParagraph"/>
        <w:numPr>
          <w:ilvl w:val="0"/>
          <w:numId w:val="2"/>
        </w:numPr>
        <w:spacing w:after="0"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Mengamalkan ilmu pengurusan dan kepimpinan berkesan di sekolah berpandukan latihan dan pengalaman yang diperolehi.</w:t>
      </w:r>
    </w:p>
    <w:p w:rsidR="00E70294" w:rsidRPr="002A2849" w:rsidRDefault="00E70294" w:rsidP="00E70294">
      <w:pPr>
        <w:pStyle w:val="ListParagraph"/>
        <w:spacing w:after="0" w:line="360" w:lineRule="auto"/>
        <w:jc w:val="both"/>
        <w:rPr>
          <w:rFonts w:ascii="Arial" w:hAnsi="Arial" w:cs="Arial"/>
          <w:color w:val="000000"/>
          <w:sz w:val="24"/>
          <w:szCs w:val="24"/>
          <w:lang w:val="ms-MY"/>
        </w:rPr>
      </w:pPr>
    </w:p>
    <w:p w:rsidR="00E70294" w:rsidRPr="002A2849" w:rsidRDefault="00E70294" w:rsidP="00E70294">
      <w:pPr>
        <w:numPr>
          <w:ilvl w:val="0"/>
          <w:numId w:val="2"/>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Memperoleh pengalaman sebenar dalam mengenal pasti keperluan, merancang, melaksana dan menilai program intervensi yang dilaksanakan di sekolah</w:t>
      </w:r>
    </w:p>
    <w:p w:rsidR="00E70294" w:rsidRPr="002A2849" w:rsidRDefault="00E70294" w:rsidP="00E70294">
      <w:pPr>
        <w:spacing w:line="360" w:lineRule="auto"/>
        <w:jc w:val="both"/>
        <w:rPr>
          <w:rFonts w:ascii="Arial" w:hAnsi="Arial" w:cs="Arial"/>
          <w:color w:val="000000"/>
          <w:sz w:val="24"/>
          <w:szCs w:val="24"/>
          <w:lang w:val="ms-MY"/>
        </w:rPr>
      </w:pPr>
    </w:p>
    <w:p w:rsidR="00E70294" w:rsidRPr="002A2849" w:rsidRDefault="00E70294" w:rsidP="00E70294">
      <w:pPr>
        <w:numPr>
          <w:ilvl w:val="0"/>
          <w:numId w:val="2"/>
        </w:numPr>
        <w:spacing w:line="360" w:lineRule="auto"/>
        <w:jc w:val="both"/>
        <w:rPr>
          <w:rFonts w:ascii="Arial" w:hAnsi="Arial" w:cs="Arial"/>
          <w:color w:val="000000"/>
          <w:sz w:val="24"/>
          <w:szCs w:val="24"/>
          <w:lang w:val="ms-MY"/>
        </w:rPr>
      </w:pPr>
      <w:r w:rsidRPr="002A2849">
        <w:rPr>
          <w:rFonts w:ascii="Arial" w:hAnsi="Arial" w:cs="Arial"/>
          <w:color w:val="000000"/>
          <w:sz w:val="24"/>
          <w:szCs w:val="24"/>
          <w:lang w:val="ms-MY"/>
        </w:rPr>
        <w:t>Menjalankan refleksi kendiri bagi tujuan mengenal pasti kekuatan dan kelemahan diri dan merancang pembangunan profesional kendiri secara berterusan.</w:t>
      </w:r>
    </w:p>
    <w:p w:rsidR="006D2F64" w:rsidRDefault="00A55488"/>
    <w:sectPr w:rsidR="006D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62C"/>
    <w:multiLevelType w:val="multilevel"/>
    <w:tmpl w:val="DB725888"/>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
    <w:nsid w:val="5656594B"/>
    <w:multiLevelType w:val="multilevel"/>
    <w:tmpl w:val="67FA5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94"/>
    <w:rsid w:val="00031358"/>
    <w:rsid w:val="00320C23"/>
    <w:rsid w:val="00666C0E"/>
    <w:rsid w:val="00E7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94"/>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94"/>
    <w:pPr>
      <w:spacing w:after="200" w:line="276" w:lineRule="auto"/>
      <w:ind w:left="720"/>
      <w:contextualSpacing/>
    </w:pPr>
    <w:rPr>
      <w:lang w:val="en-US"/>
    </w:rPr>
  </w:style>
  <w:style w:type="paragraph" w:styleId="BodyTextIndent">
    <w:name w:val="Body Text Indent"/>
    <w:basedOn w:val="Normal"/>
    <w:link w:val="BodyTextIndentChar"/>
    <w:uiPriority w:val="99"/>
    <w:unhideWhenUsed/>
    <w:rsid w:val="00E70294"/>
    <w:pPr>
      <w:spacing w:after="120"/>
      <w:ind w:left="360"/>
    </w:pPr>
  </w:style>
  <w:style w:type="character" w:customStyle="1" w:styleId="BodyTextIndentChar">
    <w:name w:val="Body Text Indent Char"/>
    <w:basedOn w:val="DefaultParagraphFont"/>
    <w:link w:val="BodyTextIndent"/>
    <w:uiPriority w:val="99"/>
    <w:rsid w:val="00E70294"/>
    <w:rPr>
      <w:rFonts w:ascii="Calibri" w:eastAsia="Calibri" w:hAnsi="Calibri" w:cs="Times New Roman"/>
      <w:lang w:val="en-GB"/>
    </w:rPr>
  </w:style>
  <w:style w:type="paragraph" w:styleId="Caption">
    <w:name w:val="caption"/>
    <w:basedOn w:val="Normal"/>
    <w:next w:val="Normal"/>
    <w:uiPriority w:val="35"/>
    <w:unhideWhenUsed/>
    <w:qFormat/>
    <w:rsid w:val="00E702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94"/>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94"/>
    <w:pPr>
      <w:spacing w:after="200" w:line="276" w:lineRule="auto"/>
      <w:ind w:left="720"/>
      <w:contextualSpacing/>
    </w:pPr>
    <w:rPr>
      <w:lang w:val="en-US"/>
    </w:rPr>
  </w:style>
  <w:style w:type="paragraph" w:styleId="BodyTextIndent">
    <w:name w:val="Body Text Indent"/>
    <w:basedOn w:val="Normal"/>
    <w:link w:val="BodyTextIndentChar"/>
    <w:uiPriority w:val="99"/>
    <w:unhideWhenUsed/>
    <w:rsid w:val="00E70294"/>
    <w:pPr>
      <w:spacing w:after="120"/>
      <w:ind w:left="360"/>
    </w:pPr>
  </w:style>
  <w:style w:type="character" w:customStyle="1" w:styleId="BodyTextIndentChar">
    <w:name w:val="Body Text Indent Char"/>
    <w:basedOn w:val="DefaultParagraphFont"/>
    <w:link w:val="BodyTextIndent"/>
    <w:uiPriority w:val="99"/>
    <w:rsid w:val="00E70294"/>
    <w:rPr>
      <w:rFonts w:ascii="Calibri" w:eastAsia="Calibri" w:hAnsi="Calibri" w:cs="Times New Roman"/>
      <w:lang w:val="en-GB"/>
    </w:rPr>
  </w:style>
  <w:style w:type="paragraph" w:styleId="Caption">
    <w:name w:val="caption"/>
    <w:basedOn w:val="Normal"/>
    <w:next w:val="Normal"/>
    <w:uiPriority w:val="35"/>
    <w:unhideWhenUsed/>
    <w:qFormat/>
    <w:rsid w:val="00E70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Ibrahim</dc:creator>
  <cp:lastModifiedBy>M3U23</cp:lastModifiedBy>
  <cp:revision>2</cp:revision>
  <dcterms:created xsi:type="dcterms:W3CDTF">2016-04-19T06:59:00Z</dcterms:created>
  <dcterms:modified xsi:type="dcterms:W3CDTF">2016-04-19T06:59:00Z</dcterms:modified>
</cp:coreProperties>
</file>